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BB6" w:rsidRPr="007C2F17" w:rsidRDefault="00AD4BB6" w:rsidP="00AD4BB6">
      <w:pPr>
        <w:rPr>
          <w:rFonts w:ascii="Arial" w:hAnsi="Arial" w:cs="Arial"/>
          <w:sz w:val="22"/>
        </w:rPr>
      </w:pPr>
      <w:r>
        <w:rPr>
          <w:rFonts w:ascii="Arial" w:hAnsi="Arial" w:cs="Arial"/>
          <w:sz w:val="22"/>
        </w:rPr>
        <w:t>Austar Community Consultative Committee Annual Report for Year 2018</w:t>
      </w:r>
    </w:p>
    <w:p w:rsidR="00AD4BB6" w:rsidRPr="0001385C" w:rsidRDefault="00AD4BB6" w:rsidP="00AD4BB6">
      <w:pPr>
        <w:pStyle w:val="Heading2"/>
        <w:spacing w:after="120"/>
        <w:rPr>
          <w:rFonts w:ascii="Arial" w:hAnsi="Arial"/>
          <w:color w:val="365F91" w:themeColor="accent1" w:themeShade="BF"/>
          <w:sz w:val="26"/>
          <w:szCs w:val="26"/>
        </w:rPr>
      </w:pPr>
      <w:r w:rsidRPr="0001385C">
        <w:rPr>
          <w:rFonts w:ascii="Arial" w:hAnsi="Arial"/>
          <w:color w:val="365F91" w:themeColor="accent1" w:themeShade="BF"/>
          <w:sz w:val="26"/>
          <w:szCs w:val="26"/>
        </w:rPr>
        <w:t>Community Consultative Committee Details</w:t>
      </w:r>
    </w:p>
    <w:tbl>
      <w:tblPr>
        <w:tblStyle w:val="GridTable1Light1"/>
        <w:tblW w:w="0" w:type="auto"/>
        <w:tblLook w:val="04A0"/>
      </w:tblPr>
      <w:tblGrid>
        <w:gridCol w:w="1555"/>
        <w:gridCol w:w="2966"/>
        <w:gridCol w:w="1286"/>
        <w:gridCol w:w="3209"/>
      </w:tblGrid>
      <w:tr w:rsidR="00AD4BB6" w:rsidRPr="0001385C" w:rsidTr="00D63FDF">
        <w:trPr>
          <w:cnfStyle w:val="100000000000"/>
        </w:trPr>
        <w:tc>
          <w:tcPr>
            <w:cnfStyle w:val="001000000000"/>
            <w:tcW w:w="1555" w:type="dxa"/>
          </w:tcPr>
          <w:p w:rsidR="00AD4BB6" w:rsidRPr="0001385C" w:rsidRDefault="00AD4BB6" w:rsidP="00D63FDF">
            <w:pPr>
              <w:pStyle w:val="BodyText"/>
              <w:spacing w:before="0" w:after="0"/>
              <w:rPr>
                <w:rFonts w:ascii="Arial" w:hAnsi="Arial" w:cs="Arial"/>
                <w:color w:val="365F91" w:themeColor="accent1" w:themeShade="BF"/>
                <w:sz w:val="20"/>
              </w:rPr>
            </w:pPr>
            <w:r w:rsidRPr="0001385C">
              <w:rPr>
                <w:rFonts w:ascii="Arial" w:hAnsi="Arial" w:cs="Arial"/>
                <w:color w:val="365F91" w:themeColor="accent1" w:themeShade="BF"/>
                <w:sz w:val="20"/>
              </w:rPr>
              <w:t>CCC / Project Name:</w:t>
            </w:r>
          </w:p>
        </w:tc>
        <w:tc>
          <w:tcPr>
            <w:tcW w:w="2966" w:type="dxa"/>
          </w:tcPr>
          <w:p w:rsidR="00AD4BB6" w:rsidRDefault="00AD4BB6" w:rsidP="00D63FDF">
            <w:pPr>
              <w:pStyle w:val="BodyText"/>
              <w:spacing w:before="0" w:after="0"/>
              <w:cnfStyle w:val="100000000000"/>
              <w:rPr>
                <w:rFonts w:ascii="Arial" w:hAnsi="Arial" w:cs="Arial"/>
                <w:b w:val="0"/>
                <w:color w:val="365F91" w:themeColor="accent1" w:themeShade="BF"/>
                <w:sz w:val="20"/>
              </w:rPr>
            </w:pPr>
          </w:p>
          <w:p w:rsidR="00AD4BB6" w:rsidRPr="0001385C" w:rsidRDefault="00AD4BB6" w:rsidP="00D63FDF">
            <w:pPr>
              <w:pStyle w:val="BodyText"/>
              <w:spacing w:before="0" w:after="0"/>
              <w:cnfStyle w:val="100000000000"/>
              <w:rPr>
                <w:rFonts w:ascii="Arial" w:hAnsi="Arial" w:cs="Arial"/>
                <w:b w:val="0"/>
                <w:color w:val="365F91" w:themeColor="accent1" w:themeShade="BF"/>
                <w:sz w:val="20"/>
              </w:rPr>
            </w:pPr>
            <w:r>
              <w:rPr>
                <w:rFonts w:ascii="Arial" w:hAnsi="Arial" w:cs="Arial"/>
                <w:b w:val="0"/>
                <w:color w:val="365F91" w:themeColor="accent1" w:themeShade="BF"/>
                <w:sz w:val="20"/>
              </w:rPr>
              <w:t>Austar Coal Mine</w:t>
            </w:r>
          </w:p>
        </w:tc>
        <w:tc>
          <w:tcPr>
            <w:tcW w:w="1286" w:type="dxa"/>
          </w:tcPr>
          <w:p w:rsidR="00AD4BB6" w:rsidRPr="0001385C" w:rsidRDefault="00AD4BB6" w:rsidP="00D63FDF">
            <w:pPr>
              <w:pStyle w:val="BodyText"/>
              <w:spacing w:before="0" w:after="0"/>
              <w:cnfStyle w:val="100000000000"/>
              <w:rPr>
                <w:rFonts w:ascii="Arial" w:hAnsi="Arial" w:cs="Arial"/>
                <w:color w:val="365F91" w:themeColor="accent1" w:themeShade="BF"/>
                <w:sz w:val="20"/>
              </w:rPr>
            </w:pPr>
            <w:r w:rsidRPr="0001385C">
              <w:rPr>
                <w:rFonts w:ascii="Arial" w:hAnsi="Arial" w:cs="Arial"/>
                <w:color w:val="365F91" w:themeColor="accent1" w:themeShade="BF"/>
                <w:sz w:val="20"/>
              </w:rPr>
              <w:t>Reporting Period:</w:t>
            </w:r>
          </w:p>
        </w:tc>
        <w:tc>
          <w:tcPr>
            <w:tcW w:w="3209" w:type="dxa"/>
          </w:tcPr>
          <w:p w:rsidR="00AD4BB6" w:rsidRDefault="00AD4BB6" w:rsidP="00D63FDF">
            <w:pPr>
              <w:pStyle w:val="BodyText"/>
              <w:spacing w:before="0" w:after="0"/>
              <w:cnfStyle w:val="100000000000"/>
              <w:rPr>
                <w:rFonts w:ascii="Arial" w:hAnsi="Arial" w:cs="Arial"/>
                <w:b w:val="0"/>
                <w:color w:val="365F91" w:themeColor="accent1" w:themeShade="BF"/>
                <w:sz w:val="20"/>
              </w:rPr>
            </w:pPr>
          </w:p>
          <w:p w:rsidR="00AD4BB6" w:rsidRPr="0001385C" w:rsidRDefault="00AD4BB6" w:rsidP="00D63FDF">
            <w:pPr>
              <w:pStyle w:val="BodyText"/>
              <w:spacing w:before="0" w:after="0"/>
              <w:cnfStyle w:val="100000000000"/>
              <w:rPr>
                <w:rFonts w:ascii="Arial" w:hAnsi="Arial" w:cs="Arial"/>
                <w:b w:val="0"/>
                <w:color w:val="365F91" w:themeColor="accent1" w:themeShade="BF"/>
                <w:sz w:val="20"/>
              </w:rPr>
            </w:pPr>
            <w:r>
              <w:rPr>
                <w:rFonts w:ascii="Arial" w:hAnsi="Arial" w:cs="Arial"/>
                <w:b w:val="0"/>
                <w:color w:val="365F91" w:themeColor="accent1" w:themeShade="BF"/>
                <w:sz w:val="20"/>
              </w:rPr>
              <w:t>January - December 2018</w:t>
            </w:r>
          </w:p>
        </w:tc>
      </w:tr>
      <w:tr w:rsidR="00AD4BB6" w:rsidRPr="0001385C" w:rsidTr="00D63FDF">
        <w:tc>
          <w:tcPr>
            <w:cnfStyle w:val="001000000000"/>
            <w:tcW w:w="1555" w:type="dxa"/>
          </w:tcPr>
          <w:p w:rsidR="00AD4BB6" w:rsidRPr="0001385C" w:rsidRDefault="00AD4BB6" w:rsidP="00D63FDF">
            <w:pPr>
              <w:pStyle w:val="BodyText"/>
              <w:spacing w:before="0" w:after="0"/>
              <w:rPr>
                <w:rFonts w:ascii="Arial" w:hAnsi="Arial" w:cs="Arial"/>
                <w:color w:val="365F91" w:themeColor="accent1" w:themeShade="BF"/>
                <w:sz w:val="20"/>
              </w:rPr>
            </w:pPr>
            <w:r w:rsidRPr="0001385C">
              <w:rPr>
                <w:rFonts w:ascii="Arial" w:hAnsi="Arial" w:cs="Arial"/>
                <w:color w:val="365F91" w:themeColor="accent1" w:themeShade="BF"/>
                <w:sz w:val="20"/>
              </w:rPr>
              <w:t>Independent Chairperson:</w:t>
            </w:r>
          </w:p>
        </w:tc>
        <w:tc>
          <w:tcPr>
            <w:tcW w:w="2966" w:type="dxa"/>
          </w:tcPr>
          <w:p w:rsidR="00AD4BB6" w:rsidRDefault="00AD4BB6" w:rsidP="00D63FDF">
            <w:pPr>
              <w:pStyle w:val="BodyText"/>
              <w:spacing w:before="0" w:after="0"/>
              <w:cnfStyle w:val="000000000000"/>
              <w:rPr>
                <w:rFonts w:ascii="Arial" w:hAnsi="Arial" w:cs="Arial"/>
                <w:b/>
                <w:color w:val="365F91" w:themeColor="accent1" w:themeShade="BF"/>
                <w:sz w:val="20"/>
              </w:rPr>
            </w:pPr>
          </w:p>
          <w:p w:rsidR="00AD4BB6" w:rsidRPr="0001385C" w:rsidRDefault="00AD4BB6" w:rsidP="00D63FDF">
            <w:pPr>
              <w:pStyle w:val="BodyText"/>
              <w:spacing w:before="0" w:after="0"/>
              <w:cnfStyle w:val="000000000000"/>
              <w:rPr>
                <w:rFonts w:ascii="Arial" w:hAnsi="Arial" w:cs="Arial"/>
                <w:b/>
                <w:color w:val="365F91" w:themeColor="accent1" w:themeShade="BF"/>
                <w:sz w:val="20"/>
              </w:rPr>
            </w:pPr>
            <w:r>
              <w:rPr>
                <w:rFonts w:ascii="Arial" w:hAnsi="Arial" w:cs="Arial"/>
                <w:b/>
                <w:color w:val="365F91" w:themeColor="accent1" w:themeShade="BF"/>
                <w:sz w:val="20"/>
              </w:rPr>
              <w:t>Margaret MacDonald-Hill</w:t>
            </w:r>
          </w:p>
        </w:tc>
        <w:tc>
          <w:tcPr>
            <w:tcW w:w="1286" w:type="dxa"/>
          </w:tcPr>
          <w:p w:rsidR="00AD4BB6" w:rsidRPr="0001385C" w:rsidRDefault="00AD4BB6" w:rsidP="00D63FDF">
            <w:pPr>
              <w:pStyle w:val="BodyText"/>
              <w:spacing w:before="0" w:after="0"/>
              <w:cnfStyle w:val="000000000000"/>
              <w:rPr>
                <w:rFonts w:ascii="Arial" w:hAnsi="Arial" w:cs="Arial"/>
                <w:b/>
                <w:color w:val="365F91" w:themeColor="accent1" w:themeShade="BF"/>
                <w:sz w:val="20"/>
              </w:rPr>
            </w:pPr>
            <w:r w:rsidRPr="0001385C">
              <w:rPr>
                <w:rFonts w:ascii="Arial" w:hAnsi="Arial" w:cs="Arial"/>
                <w:b/>
                <w:color w:val="365F91" w:themeColor="accent1" w:themeShade="BF"/>
                <w:sz w:val="20"/>
              </w:rPr>
              <w:t>Proponent Contact:</w:t>
            </w:r>
          </w:p>
        </w:tc>
        <w:tc>
          <w:tcPr>
            <w:tcW w:w="3209" w:type="dxa"/>
          </w:tcPr>
          <w:p w:rsidR="00AD4BB6" w:rsidRDefault="00AD4BB6" w:rsidP="00D63FDF">
            <w:pPr>
              <w:pStyle w:val="BodyText"/>
              <w:spacing w:before="0" w:after="0"/>
              <w:cnfStyle w:val="000000000000"/>
              <w:rPr>
                <w:rFonts w:ascii="Arial" w:hAnsi="Arial" w:cs="Arial"/>
                <w:b/>
                <w:color w:val="365F91" w:themeColor="accent1" w:themeShade="BF"/>
                <w:sz w:val="20"/>
              </w:rPr>
            </w:pPr>
          </w:p>
          <w:p w:rsidR="00AD4BB6" w:rsidRPr="0001385C" w:rsidRDefault="00AD4BB6" w:rsidP="00D63FDF">
            <w:pPr>
              <w:pStyle w:val="BodyText"/>
              <w:spacing w:before="0" w:after="0"/>
              <w:cnfStyle w:val="000000000000"/>
              <w:rPr>
                <w:rFonts w:ascii="Arial" w:hAnsi="Arial" w:cs="Arial"/>
                <w:b/>
                <w:color w:val="365F91" w:themeColor="accent1" w:themeShade="BF"/>
                <w:sz w:val="20"/>
              </w:rPr>
            </w:pPr>
            <w:r>
              <w:rPr>
                <w:rFonts w:ascii="Arial" w:hAnsi="Arial" w:cs="Arial"/>
                <w:b/>
                <w:color w:val="365F91" w:themeColor="accent1" w:themeShade="BF"/>
                <w:sz w:val="20"/>
              </w:rPr>
              <w:t>Carly McCormack</w:t>
            </w:r>
          </w:p>
        </w:tc>
      </w:tr>
    </w:tbl>
    <w:p w:rsidR="00AD4BB6" w:rsidRPr="0001385C" w:rsidRDefault="00AD4BB6" w:rsidP="00AD4BB6">
      <w:pPr>
        <w:pStyle w:val="Heading2"/>
        <w:numPr>
          <w:ilvl w:val="0"/>
          <w:numId w:val="1"/>
        </w:numPr>
        <w:spacing w:after="120"/>
        <w:ind w:left="714" w:hanging="357"/>
        <w:rPr>
          <w:rFonts w:ascii="Arial" w:hAnsi="Arial"/>
          <w:color w:val="365F91" w:themeColor="accent1" w:themeShade="BF"/>
          <w:sz w:val="26"/>
          <w:szCs w:val="26"/>
        </w:rPr>
      </w:pPr>
      <w:r w:rsidRPr="0001385C">
        <w:rPr>
          <w:rFonts w:ascii="Arial" w:hAnsi="Arial"/>
          <w:color w:val="365F91" w:themeColor="accent1" w:themeShade="BF"/>
          <w:sz w:val="26"/>
          <w:szCs w:val="26"/>
        </w:rPr>
        <w:t>Executive Summary</w:t>
      </w:r>
    </w:p>
    <w:p w:rsidR="009405E8" w:rsidRDefault="00AD4BB6" w:rsidP="00AD4BB6">
      <w:pPr>
        <w:pStyle w:val="ListBullet0"/>
        <w:numPr>
          <w:ilvl w:val="0"/>
          <w:numId w:val="0"/>
        </w:numPr>
        <w:ind w:left="360"/>
        <w:rPr>
          <w:rFonts w:ascii="Arial" w:eastAsiaTheme="minorEastAsia" w:hAnsi="Arial" w:cs="Arial"/>
          <w:sz w:val="22"/>
          <w:szCs w:val="22"/>
          <w:lang w:val="en-US" w:eastAsia="en-US"/>
        </w:rPr>
      </w:pPr>
      <w:r>
        <w:rPr>
          <w:rFonts w:ascii="Arial" w:eastAsiaTheme="minorEastAsia" w:hAnsi="Arial" w:cs="Arial"/>
          <w:sz w:val="22"/>
          <w:szCs w:val="22"/>
          <w:lang w:val="en-US" w:eastAsia="en-US"/>
        </w:rPr>
        <w:t>The Austar Community Consultative Committee was established</w:t>
      </w:r>
      <w:r w:rsidR="009405E8">
        <w:rPr>
          <w:rFonts w:ascii="Arial" w:eastAsiaTheme="minorEastAsia" w:hAnsi="Arial" w:cs="Arial"/>
          <w:sz w:val="22"/>
          <w:szCs w:val="22"/>
          <w:lang w:val="en-US" w:eastAsia="en-US"/>
        </w:rPr>
        <w:t xml:space="preserve"> </w:t>
      </w:r>
      <w:r>
        <w:rPr>
          <w:rFonts w:ascii="Arial" w:eastAsiaTheme="minorEastAsia" w:hAnsi="Arial" w:cs="Arial"/>
          <w:sz w:val="22"/>
          <w:szCs w:val="22"/>
          <w:lang w:val="en-US" w:eastAsia="en-US"/>
        </w:rPr>
        <w:t>in 2006</w:t>
      </w:r>
      <w:r w:rsidR="009405E8">
        <w:rPr>
          <w:rFonts w:ascii="Arial" w:eastAsiaTheme="minorEastAsia" w:hAnsi="Arial" w:cs="Arial"/>
          <w:sz w:val="22"/>
          <w:szCs w:val="22"/>
          <w:lang w:val="en-US" w:eastAsia="en-US"/>
        </w:rPr>
        <w:t xml:space="preserve"> </w:t>
      </w:r>
      <w:r>
        <w:rPr>
          <w:rFonts w:ascii="Arial" w:eastAsiaTheme="minorEastAsia" w:hAnsi="Arial" w:cs="Arial"/>
          <w:sz w:val="22"/>
          <w:szCs w:val="22"/>
          <w:lang w:val="en-US" w:eastAsia="en-US"/>
        </w:rPr>
        <w:t xml:space="preserve">as part of </w:t>
      </w:r>
      <w:r w:rsidR="009405E8">
        <w:rPr>
          <w:rFonts w:ascii="Arial" w:eastAsiaTheme="minorEastAsia" w:hAnsi="Arial" w:cs="Arial"/>
          <w:sz w:val="22"/>
          <w:szCs w:val="22"/>
          <w:lang w:val="en-US" w:eastAsia="en-US"/>
        </w:rPr>
        <w:t xml:space="preserve">a modification to the existing 1996 consent </w:t>
      </w:r>
      <w:r>
        <w:rPr>
          <w:rFonts w:ascii="Arial" w:eastAsiaTheme="minorEastAsia" w:hAnsi="Arial" w:cs="Arial"/>
          <w:sz w:val="22"/>
          <w:szCs w:val="22"/>
          <w:lang w:val="en-US" w:eastAsia="en-US"/>
        </w:rPr>
        <w:t>approval</w:t>
      </w:r>
      <w:r w:rsidR="009405E8">
        <w:rPr>
          <w:rFonts w:ascii="Arial" w:eastAsiaTheme="minorEastAsia" w:hAnsi="Arial" w:cs="Arial"/>
          <w:sz w:val="22"/>
          <w:szCs w:val="22"/>
          <w:lang w:val="en-US" w:eastAsia="en-US"/>
        </w:rPr>
        <w:t xml:space="preserve"> </w:t>
      </w:r>
      <w:r w:rsidR="00511450">
        <w:rPr>
          <w:rFonts w:ascii="Arial" w:eastAsiaTheme="minorEastAsia" w:hAnsi="Arial" w:cs="Arial"/>
          <w:sz w:val="22"/>
          <w:szCs w:val="22"/>
          <w:lang w:val="en-US" w:eastAsia="en-US"/>
        </w:rPr>
        <w:t xml:space="preserve">DA29/95 </w:t>
      </w:r>
      <w:r w:rsidR="009405E8">
        <w:rPr>
          <w:rFonts w:ascii="Arial" w:eastAsiaTheme="minorEastAsia" w:hAnsi="Arial" w:cs="Arial"/>
          <w:sz w:val="22"/>
          <w:szCs w:val="22"/>
          <w:lang w:val="en-US" w:eastAsia="en-US"/>
        </w:rPr>
        <w:t xml:space="preserve">by the Minister for Urban Affairs and Planning.  The Committee operates in accordance with the current version of the </w:t>
      </w:r>
      <w:r>
        <w:rPr>
          <w:rFonts w:ascii="Arial" w:eastAsiaTheme="minorEastAsia" w:hAnsi="Arial" w:cs="Arial"/>
          <w:sz w:val="22"/>
          <w:szCs w:val="22"/>
          <w:lang w:val="en-US" w:eastAsia="en-US"/>
        </w:rPr>
        <w:t xml:space="preserve">Department of Planning and Environment's Community Consultative Committee Guidelines for State Significant Projects.   </w:t>
      </w:r>
    </w:p>
    <w:p w:rsidR="009405E8" w:rsidRDefault="009405E8" w:rsidP="00AD4BB6">
      <w:pPr>
        <w:pStyle w:val="ListBullet0"/>
        <w:numPr>
          <w:ilvl w:val="0"/>
          <w:numId w:val="0"/>
        </w:numPr>
        <w:ind w:left="360"/>
        <w:rPr>
          <w:rFonts w:ascii="Arial" w:eastAsiaTheme="minorEastAsia" w:hAnsi="Arial" w:cs="Arial"/>
          <w:sz w:val="22"/>
          <w:szCs w:val="22"/>
          <w:lang w:val="en-US" w:eastAsia="en-US"/>
        </w:rPr>
      </w:pPr>
      <w:r>
        <w:rPr>
          <w:rFonts w:ascii="Arial" w:eastAsiaTheme="minorEastAsia" w:hAnsi="Arial" w:cs="Arial"/>
          <w:sz w:val="22"/>
          <w:szCs w:val="22"/>
          <w:lang w:val="en-US" w:eastAsia="en-US"/>
        </w:rPr>
        <w:t xml:space="preserve">The Austar Coal Mine is an underground coal mine situated </w:t>
      </w:r>
      <w:r w:rsidR="00AC60C0">
        <w:rPr>
          <w:rFonts w:ascii="Arial" w:eastAsiaTheme="minorEastAsia" w:hAnsi="Arial" w:cs="Arial"/>
          <w:sz w:val="22"/>
          <w:szCs w:val="22"/>
          <w:lang w:val="en-US" w:eastAsia="en-US"/>
        </w:rPr>
        <w:t xml:space="preserve">in the Cessnock Council Local Government area, </w:t>
      </w:r>
      <w:r>
        <w:rPr>
          <w:rFonts w:ascii="Arial" w:eastAsiaTheme="minorEastAsia" w:hAnsi="Arial" w:cs="Arial"/>
          <w:sz w:val="22"/>
          <w:szCs w:val="22"/>
          <w:lang w:val="en-US" w:eastAsia="en-US"/>
        </w:rPr>
        <w:t xml:space="preserve">approximately ten </w:t>
      </w:r>
      <w:proofErr w:type="spellStart"/>
      <w:r>
        <w:rPr>
          <w:rFonts w:ascii="Arial" w:eastAsiaTheme="minorEastAsia" w:hAnsi="Arial" w:cs="Arial"/>
          <w:sz w:val="22"/>
          <w:szCs w:val="22"/>
          <w:lang w:val="en-US" w:eastAsia="en-US"/>
        </w:rPr>
        <w:t>ki</w:t>
      </w:r>
      <w:r w:rsidR="00CF0ACC">
        <w:rPr>
          <w:rFonts w:ascii="Arial" w:eastAsiaTheme="minorEastAsia" w:hAnsi="Arial" w:cs="Arial"/>
          <w:sz w:val="22"/>
          <w:szCs w:val="22"/>
          <w:lang w:val="en-US" w:eastAsia="en-US"/>
        </w:rPr>
        <w:t>lometres</w:t>
      </w:r>
      <w:proofErr w:type="spellEnd"/>
      <w:r w:rsidR="00CF0ACC">
        <w:rPr>
          <w:rFonts w:ascii="Arial" w:eastAsiaTheme="minorEastAsia" w:hAnsi="Arial" w:cs="Arial"/>
          <w:sz w:val="22"/>
          <w:szCs w:val="22"/>
          <w:lang w:val="en-US" w:eastAsia="en-US"/>
        </w:rPr>
        <w:t xml:space="preserve"> south west of </w:t>
      </w:r>
      <w:r w:rsidR="00AC60C0">
        <w:rPr>
          <w:rFonts w:ascii="Arial" w:eastAsiaTheme="minorEastAsia" w:hAnsi="Arial" w:cs="Arial"/>
          <w:sz w:val="22"/>
          <w:szCs w:val="22"/>
          <w:lang w:val="en-US" w:eastAsia="en-US"/>
        </w:rPr>
        <w:t xml:space="preserve">the town of </w:t>
      </w:r>
      <w:r w:rsidR="00CF0ACC">
        <w:rPr>
          <w:rFonts w:ascii="Arial" w:eastAsiaTheme="minorEastAsia" w:hAnsi="Arial" w:cs="Arial"/>
          <w:sz w:val="22"/>
          <w:szCs w:val="22"/>
          <w:lang w:val="en-US" w:eastAsia="en-US"/>
        </w:rPr>
        <w:t>Cessnock</w:t>
      </w:r>
      <w:r w:rsidR="00AC60C0">
        <w:rPr>
          <w:rFonts w:ascii="Arial" w:eastAsiaTheme="minorEastAsia" w:hAnsi="Arial" w:cs="Arial"/>
          <w:sz w:val="22"/>
          <w:szCs w:val="22"/>
          <w:lang w:val="en-US" w:eastAsia="en-US"/>
        </w:rPr>
        <w:t xml:space="preserve"> and </w:t>
      </w:r>
      <w:r w:rsidR="00CD7E5E">
        <w:rPr>
          <w:rFonts w:ascii="Arial" w:eastAsiaTheme="minorEastAsia" w:hAnsi="Arial" w:cs="Arial"/>
          <w:sz w:val="22"/>
          <w:szCs w:val="22"/>
          <w:lang w:val="en-US" w:eastAsia="en-US"/>
        </w:rPr>
        <w:t xml:space="preserve">in proximity to </w:t>
      </w:r>
      <w:r w:rsidR="00CF0ACC">
        <w:rPr>
          <w:rFonts w:ascii="Arial" w:eastAsiaTheme="minorEastAsia" w:hAnsi="Arial" w:cs="Arial"/>
          <w:sz w:val="22"/>
          <w:szCs w:val="22"/>
          <w:lang w:val="en-US" w:eastAsia="en-US"/>
        </w:rPr>
        <w:t xml:space="preserve">the villages of Paxton, </w:t>
      </w:r>
      <w:proofErr w:type="spellStart"/>
      <w:r w:rsidR="00CF0ACC">
        <w:rPr>
          <w:rFonts w:ascii="Arial" w:eastAsiaTheme="minorEastAsia" w:hAnsi="Arial" w:cs="Arial"/>
          <w:sz w:val="22"/>
          <w:szCs w:val="22"/>
          <w:lang w:val="en-US" w:eastAsia="en-US"/>
        </w:rPr>
        <w:t>Ellalong</w:t>
      </w:r>
      <w:proofErr w:type="spellEnd"/>
      <w:r w:rsidR="00CF0ACC">
        <w:rPr>
          <w:rFonts w:ascii="Arial" w:eastAsiaTheme="minorEastAsia" w:hAnsi="Arial" w:cs="Arial"/>
          <w:sz w:val="22"/>
          <w:szCs w:val="22"/>
          <w:lang w:val="en-US" w:eastAsia="en-US"/>
        </w:rPr>
        <w:t xml:space="preserve"> and </w:t>
      </w:r>
      <w:proofErr w:type="spellStart"/>
      <w:r w:rsidR="00CF0ACC">
        <w:rPr>
          <w:rFonts w:ascii="Arial" w:eastAsiaTheme="minorEastAsia" w:hAnsi="Arial" w:cs="Arial"/>
          <w:sz w:val="22"/>
          <w:szCs w:val="22"/>
          <w:lang w:val="en-US" w:eastAsia="en-US"/>
        </w:rPr>
        <w:t>Pelton</w:t>
      </w:r>
      <w:proofErr w:type="spellEnd"/>
      <w:r w:rsidR="00CF0ACC">
        <w:rPr>
          <w:rFonts w:ascii="Arial" w:eastAsiaTheme="minorEastAsia" w:hAnsi="Arial" w:cs="Arial"/>
          <w:sz w:val="22"/>
          <w:szCs w:val="22"/>
          <w:lang w:val="en-US" w:eastAsia="en-US"/>
        </w:rPr>
        <w:t xml:space="preserve"> </w:t>
      </w:r>
      <w:r>
        <w:rPr>
          <w:rFonts w:ascii="Arial" w:eastAsiaTheme="minorEastAsia" w:hAnsi="Arial" w:cs="Arial"/>
          <w:sz w:val="22"/>
          <w:szCs w:val="22"/>
          <w:lang w:val="en-US" w:eastAsia="en-US"/>
        </w:rPr>
        <w:t xml:space="preserve">in the Lower Hunter Valley </w:t>
      </w:r>
      <w:r w:rsidR="00CF0ACC">
        <w:rPr>
          <w:rFonts w:ascii="Arial" w:eastAsiaTheme="minorEastAsia" w:hAnsi="Arial" w:cs="Arial"/>
          <w:sz w:val="22"/>
          <w:szCs w:val="22"/>
          <w:lang w:val="en-US" w:eastAsia="en-US"/>
        </w:rPr>
        <w:t>of</w:t>
      </w:r>
      <w:r>
        <w:rPr>
          <w:rFonts w:ascii="Arial" w:eastAsiaTheme="minorEastAsia" w:hAnsi="Arial" w:cs="Arial"/>
          <w:sz w:val="22"/>
          <w:szCs w:val="22"/>
          <w:lang w:val="en-US" w:eastAsia="en-US"/>
        </w:rPr>
        <w:t xml:space="preserve"> NSW. </w:t>
      </w:r>
      <w:r w:rsidR="00CF0ACC">
        <w:rPr>
          <w:rFonts w:ascii="Arial" w:eastAsiaTheme="minorEastAsia" w:hAnsi="Arial" w:cs="Arial"/>
          <w:sz w:val="22"/>
          <w:szCs w:val="22"/>
          <w:lang w:val="en-US" w:eastAsia="en-US"/>
        </w:rPr>
        <w:t xml:space="preserve"> </w:t>
      </w:r>
      <w:r w:rsidR="00511450" w:rsidRPr="00511450">
        <w:rPr>
          <w:rFonts w:ascii="Arial" w:eastAsiaTheme="minorEastAsia" w:hAnsi="Arial" w:cs="Arial"/>
          <w:sz w:val="22"/>
          <w:szCs w:val="22"/>
          <w:lang w:val="en-US" w:eastAsia="en-US"/>
        </w:rPr>
        <w:t xml:space="preserve">The </w:t>
      </w:r>
      <w:proofErr w:type="spellStart"/>
      <w:r w:rsidR="00511450" w:rsidRPr="00511450">
        <w:rPr>
          <w:rFonts w:ascii="Arial" w:eastAsiaTheme="minorEastAsia" w:hAnsi="Arial" w:cs="Arial"/>
          <w:sz w:val="22"/>
          <w:szCs w:val="22"/>
          <w:lang w:val="en-US" w:eastAsia="en-US"/>
        </w:rPr>
        <w:t>Austar</w:t>
      </w:r>
      <w:proofErr w:type="spellEnd"/>
      <w:r w:rsidR="00511450" w:rsidRPr="00511450">
        <w:rPr>
          <w:rFonts w:ascii="Arial" w:eastAsiaTheme="minorEastAsia" w:hAnsi="Arial" w:cs="Arial"/>
          <w:sz w:val="22"/>
          <w:szCs w:val="22"/>
          <w:lang w:val="en-US" w:eastAsia="en-US"/>
        </w:rPr>
        <w:t xml:space="preserve"> Coal Mine incorporates the former </w:t>
      </w:r>
      <w:proofErr w:type="spellStart"/>
      <w:r w:rsidR="00511450" w:rsidRPr="00511450">
        <w:rPr>
          <w:rFonts w:ascii="Arial" w:eastAsiaTheme="minorEastAsia" w:hAnsi="Arial" w:cs="Arial"/>
          <w:sz w:val="22"/>
          <w:szCs w:val="22"/>
          <w:lang w:val="en-US" w:eastAsia="en-US"/>
        </w:rPr>
        <w:t>Pelton</w:t>
      </w:r>
      <w:proofErr w:type="spellEnd"/>
      <w:r w:rsidR="00511450" w:rsidRPr="00511450">
        <w:rPr>
          <w:rFonts w:ascii="Arial" w:eastAsiaTheme="minorEastAsia" w:hAnsi="Arial" w:cs="Arial"/>
          <w:sz w:val="22"/>
          <w:szCs w:val="22"/>
          <w:lang w:val="en-US" w:eastAsia="en-US"/>
        </w:rPr>
        <w:t xml:space="preserve">, </w:t>
      </w:r>
      <w:proofErr w:type="spellStart"/>
      <w:r w:rsidR="00511450" w:rsidRPr="00511450">
        <w:rPr>
          <w:rFonts w:ascii="Arial" w:eastAsiaTheme="minorEastAsia" w:hAnsi="Arial" w:cs="Arial"/>
          <w:sz w:val="22"/>
          <w:szCs w:val="22"/>
          <w:lang w:val="en-US" w:eastAsia="en-US"/>
        </w:rPr>
        <w:t>Ellalong</w:t>
      </w:r>
      <w:proofErr w:type="spellEnd"/>
      <w:r w:rsidR="00511450" w:rsidRPr="00511450">
        <w:rPr>
          <w:rFonts w:ascii="Arial" w:eastAsiaTheme="minorEastAsia" w:hAnsi="Arial" w:cs="Arial"/>
          <w:sz w:val="22"/>
          <w:szCs w:val="22"/>
          <w:lang w:val="en-US" w:eastAsia="en-US"/>
        </w:rPr>
        <w:t>, Cessnock No. 1 (</w:t>
      </w:r>
      <w:proofErr w:type="spellStart"/>
      <w:r w:rsidR="00511450" w:rsidRPr="00511450">
        <w:rPr>
          <w:rFonts w:ascii="Arial" w:eastAsiaTheme="minorEastAsia" w:hAnsi="Arial" w:cs="Arial"/>
          <w:sz w:val="22"/>
          <w:szCs w:val="22"/>
          <w:lang w:val="en-US" w:eastAsia="en-US"/>
        </w:rPr>
        <w:t>Kalingo</w:t>
      </w:r>
      <w:proofErr w:type="spellEnd"/>
      <w:r w:rsidR="00511450" w:rsidRPr="00511450">
        <w:rPr>
          <w:rFonts w:ascii="Arial" w:eastAsiaTheme="minorEastAsia" w:hAnsi="Arial" w:cs="Arial"/>
          <w:sz w:val="22"/>
          <w:szCs w:val="22"/>
          <w:lang w:val="en-US" w:eastAsia="en-US"/>
        </w:rPr>
        <w:t>) and Bellbird South Collieries and includes coal extraction, handling, processing and rail and road transport facilities</w:t>
      </w:r>
      <w:r w:rsidR="00464B41">
        <w:rPr>
          <w:rFonts w:ascii="Arial" w:eastAsiaTheme="minorEastAsia" w:hAnsi="Arial" w:cs="Arial"/>
          <w:sz w:val="22"/>
          <w:szCs w:val="22"/>
          <w:lang w:val="en-US" w:eastAsia="en-US"/>
        </w:rPr>
        <w:t xml:space="preserve">.  </w:t>
      </w:r>
      <w:r w:rsidR="00511450" w:rsidRPr="00511450">
        <w:rPr>
          <w:rFonts w:ascii="Arial" w:eastAsiaTheme="minorEastAsia" w:hAnsi="Arial" w:cs="Arial"/>
          <w:sz w:val="22"/>
          <w:szCs w:val="22"/>
          <w:lang w:val="en-US" w:eastAsia="en-US"/>
        </w:rPr>
        <w:t xml:space="preserve">Extensive mining has been undertaken within the Austar Coal Mine since 1916.  Historical mining was predominantly via </w:t>
      </w:r>
      <w:proofErr w:type="spellStart"/>
      <w:r w:rsidR="00511450" w:rsidRPr="00511450">
        <w:rPr>
          <w:rFonts w:ascii="Arial" w:eastAsiaTheme="minorEastAsia" w:hAnsi="Arial" w:cs="Arial"/>
          <w:sz w:val="22"/>
          <w:szCs w:val="22"/>
          <w:lang w:val="en-US" w:eastAsia="en-US"/>
        </w:rPr>
        <w:t>bord</w:t>
      </w:r>
      <w:proofErr w:type="spellEnd"/>
      <w:r w:rsidR="00511450" w:rsidRPr="00511450">
        <w:rPr>
          <w:rFonts w:ascii="Arial" w:eastAsiaTheme="minorEastAsia" w:hAnsi="Arial" w:cs="Arial"/>
          <w:sz w:val="22"/>
          <w:szCs w:val="22"/>
          <w:lang w:val="en-US" w:eastAsia="en-US"/>
        </w:rPr>
        <w:t xml:space="preserve"> and pillar mining and more recently via conventional longwall mining and Longwall Top Coal Caving (LTCC) methods.</w:t>
      </w:r>
    </w:p>
    <w:p w:rsidR="00AD4BB6" w:rsidRDefault="00AD4BB6" w:rsidP="00AD4BB6">
      <w:pPr>
        <w:pStyle w:val="ListBullet0"/>
        <w:numPr>
          <w:ilvl w:val="0"/>
          <w:numId w:val="0"/>
        </w:numPr>
        <w:ind w:left="360"/>
        <w:rPr>
          <w:rFonts w:ascii="Arial" w:eastAsiaTheme="minorEastAsia" w:hAnsi="Arial" w:cs="Arial"/>
          <w:sz w:val="22"/>
          <w:szCs w:val="22"/>
          <w:lang w:val="en-US" w:eastAsia="en-US"/>
        </w:rPr>
      </w:pPr>
      <w:r>
        <w:rPr>
          <w:rFonts w:ascii="Arial" w:eastAsiaTheme="minorEastAsia" w:hAnsi="Arial" w:cs="Arial"/>
          <w:sz w:val="22"/>
          <w:szCs w:val="22"/>
          <w:lang w:val="en-US" w:eastAsia="en-US"/>
        </w:rPr>
        <w:t xml:space="preserve">The committee </w:t>
      </w:r>
      <w:r w:rsidR="00A945C7">
        <w:rPr>
          <w:rFonts w:ascii="Arial" w:eastAsiaTheme="minorEastAsia" w:hAnsi="Arial" w:cs="Arial"/>
          <w:sz w:val="22"/>
          <w:szCs w:val="22"/>
          <w:lang w:val="en-US" w:eastAsia="en-US"/>
        </w:rPr>
        <w:t xml:space="preserve">meets quarterly each year and </w:t>
      </w:r>
      <w:r>
        <w:rPr>
          <w:rFonts w:ascii="Arial" w:eastAsiaTheme="minorEastAsia" w:hAnsi="Arial" w:cs="Arial"/>
          <w:sz w:val="22"/>
          <w:szCs w:val="22"/>
          <w:lang w:val="en-US" w:eastAsia="en-US"/>
        </w:rPr>
        <w:t>comprises:</w:t>
      </w:r>
    </w:p>
    <w:p w:rsidR="00AD4BB6" w:rsidRDefault="00AD4BB6" w:rsidP="00AD4BB6">
      <w:pPr>
        <w:pStyle w:val="ListBullet0"/>
        <w:numPr>
          <w:ilvl w:val="0"/>
          <w:numId w:val="5"/>
        </w:numPr>
        <w:rPr>
          <w:rFonts w:ascii="Arial" w:eastAsiaTheme="minorEastAsia" w:hAnsi="Arial" w:cs="Arial"/>
          <w:sz w:val="22"/>
          <w:szCs w:val="22"/>
          <w:lang w:val="en-US" w:eastAsia="en-US"/>
        </w:rPr>
      </w:pPr>
      <w:r>
        <w:rPr>
          <w:rFonts w:ascii="Arial" w:eastAsiaTheme="minorEastAsia" w:hAnsi="Arial" w:cs="Arial"/>
          <w:sz w:val="22"/>
          <w:szCs w:val="22"/>
          <w:lang w:val="en-US" w:eastAsia="en-US"/>
        </w:rPr>
        <w:t>f</w:t>
      </w:r>
      <w:r w:rsidR="00AC60C0">
        <w:rPr>
          <w:rFonts w:ascii="Arial" w:eastAsiaTheme="minorEastAsia" w:hAnsi="Arial" w:cs="Arial"/>
          <w:sz w:val="22"/>
          <w:szCs w:val="22"/>
          <w:lang w:val="en-US" w:eastAsia="en-US"/>
        </w:rPr>
        <w:t>our</w:t>
      </w:r>
      <w:r>
        <w:rPr>
          <w:rFonts w:ascii="Arial" w:eastAsiaTheme="minorEastAsia" w:hAnsi="Arial" w:cs="Arial"/>
          <w:sz w:val="22"/>
          <w:szCs w:val="22"/>
          <w:lang w:val="en-US" w:eastAsia="en-US"/>
        </w:rPr>
        <w:t xml:space="preserve"> local community representatives;</w:t>
      </w:r>
    </w:p>
    <w:p w:rsidR="00AD4BB6" w:rsidRDefault="00082C27" w:rsidP="00AD4BB6">
      <w:pPr>
        <w:pStyle w:val="ListBullet0"/>
        <w:numPr>
          <w:ilvl w:val="0"/>
          <w:numId w:val="5"/>
        </w:numPr>
        <w:rPr>
          <w:rFonts w:ascii="Arial" w:eastAsiaTheme="minorEastAsia" w:hAnsi="Arial" w:cs="Arial"/>
          <w:sz w:val="22"/>
          <w:szCs w:val="22"/>
          <w:lang w:val="en-US" w:eastAsia="en-US"/>
        </w:rPr>
      </w:pPr>
      <w:r>
        <w:rPr>
          <w:rFonts w:ascii="Arial" w:eastAsiaTheme="minorEastAsia" w:hAnsi="Arial" w:cs="Arial"/>
          <w:sz w:val="22"/>
          <w:szCs w:val="22"/>
          <w:lang w:val="en-US" w:eastAsia="en-US"/>
        </w:rPr>
        <w:t>one elected Cessnock</w:t>
      </w:r>
      <w:r w:rsidR="00AD4BB6">
        <w:rPr>
          <w:rFonts w:ascii="Arial" w:eastAsiaTheme="minorEastAsia" w:hAnsi="Arial" w:cs="Arial"/>
          <w:sz w:val="22"/>
          <w:szCs w:val="22"/>
          <w:lang w:val="en-US" w:eastAsia="en-US"/>
        </w:rPr>
        <w:t xml:space="preserve"> C</w:t>
      </w:r>
      <w:r>
        <w:rPr>
          <w:rFonts w:ascii="Arial" w:eastAsiaTheme="minorEastAsia" w:hAnsi="Arial" w:cs="Arial"/>
          <w:sz w:val="22"/>
          <w:szCs w:val="22"/>
          <w:lang w:val="en-US" w:eastAsia="en-US"/>
        </w:rPr>
        <w:t>i</w:t>
      </w:r>
      <w:r w:rsidR="00AD4BB6">
        <w:rPr>
          <w:rFonts w:ascii="Arial" w:eastAsiaTheme="minorEastAsia" w:hAnsi="Arial" w:cs="Arial"/>
          <w:sz w:val="22"/>
          <w:szCs w:val="22"/>
          <w:lang w:val="en-US" w:eastAsia="en-US"/>
        </w:rPr>
        <w:t>t</w:t>
      </w:r>
      <w:r>
        <w:rPr>
          <w:rFonts w:ascii="Arial" w:eastAsiaTheme="minorEastAsia" w:hAnsi="Arial" w:cs="Arial"/>
          <w:sz w:val="22"/>
          <w:szCs w:val="22"/>
          <w:lang w:val="en-US" w:eastAsia="en-US"/>
        </w:rPr>
        <w:t>y</w:t>
      </w:r>
      <w:r w:rsidR="00AD4BB6">
        <w:rPr>
          <w:rFonts w:ascii="Arial" w:eastAsiaTheme="minorEastAsia" w:hAnsi="Arial" w:cs="Arial"/>
          <w:sz w:val="22"/>
          <w:szCs w:val="22"/>
          <w:lang w:val="en-US" w:eastAsia="en-US"/>
        </w:rPr>
        <w:t xml:space="preserve"> Council representative;</w:t>
      </w:r>
    </w:p>
    <w:p w:rsidR="00AD4BB6" w:rsidRDefault="00AD4BB6" w:rsidP="00AD4BB6">
      <w:pPr>
        <w:pStyle w:val="ListBullet0"/>
        <w:numPr>
          <w:ilvl w:val="0"/>
          <w:numId w:val="5"/>
        </w:numPr>
        <w:rPr>
          <w:rFonts w:ascii="Arial" w:eastAsiaTheme="minorEastAsia" w:hAnsi="Arial" w:cs="Arial"/>
          <w:sz w:val="22"/>
          <w:szCs w:val="22"/>
          <w:lang w:val="en-US" w:eastAsia="en-US"/>
        </w:rPr>
      </w:pPr>
      <w:r>
        <w:rPr>
          <w:rFonts w:ascii="Arial" w:eastAsiaTheme="minorEastAsia" w:hAnsi="Arial" w:cs="Arial"/>
          <w:sz w:val="22"/>
          <w:szCs w:val="22"/>
          <w:lang w:val="en-US" w:eastAsia="en-US"/>
        </w:rPr>
        <w:t xml:space="preserve">two </w:t>
      </w:r>
      <w:r w:rsidR="00082C27">
        <w:rPr>
          <w:rFonts w:ascii="Arial" w:eastAsiaTheme="minorEastAsia" w:hAnsi="Arial" w:cs="Arial"/>
          <w:sz w:val="22"/>
          <w:szCs w:val="22"/>
          <w:lang w:val="en-US" w:eastAsia="en-US"/>
        </w:rPr>
        <w:t xml:space="preserve">Austar </w:t>
      </w:r>
      <w:r>
        <w:rPr>
          <w:rFonts w:ascii="Arial" w:eastAsiaTheme="minorEastAsia" w:hAnsi="Arial" w:cs="Arial"/>
          <w:sz w:val="22"/>
          <w:szCs w:val="22"/>
          <w:lang w:val="en-US" w:eastAsia="en-US"/>
        </w:rPr>
        <w:t xml:space="preserve">Coal </w:t>
      </w:r>
      <w:r w:rsidR="00082C27">
        <w:rPr>
          <w:rFonts w:ascii="Arial" w:eastAsiaTheme="minorEastAsia" w:hAnsi="Arial" w:cs="Arial"/>
          <w:sz w:val="22"/>
          <w:szCs w:val="22"/>
          <w:lang w:val="en-US" w:eastAsia="en-US"/>
        </w:rPr>
        <w:t xml:space="preserve">Mine </w:t>
      </w:r>
      <w:r>
        <w:rPr>
          <w:rFonts w:ascii="Arial" w:eastAsiaTheme="minorEastAsia" w:hAnsi="Arial" w:cs="Arial"/>
          <w:sz w:val="22"/>
          <w:szCs w:val="22"/>
          <w:lang w:val="en-US" w:eastAsia="en-US"/>
        </w:rPr>
        <w:t>representatives, with attendance from other personnel as required;</w:t>
      </w:r>
    </w:p>
    <w:p w:rsidR="00AD4BB6" w:rsidRPr="00487781" w:rsidRDefault="00AD4BB6" w:rsidP="00AD4BB6">
      <w:pPr>
        <w:pStyle w:val="ListBullet0"/>
        <w:numPr>
          <w:ilvl w:val="0"/>
          <w:numId w:val="5"/>
        </w:numPr>
        <w:rPr>
          <w:rFonts w:ascii="Arial" w:eastAsiaTheme="minorEastAsia" w:hAnsi="Arial" w:cs="Arial"/>
          <w:sz w:val="22"/>
          <w:szCs w:val="22"/>
          <w:lang w:val="en-US" w:eastAsia="en-US"/>
        </w:rPr>
      </w:pPr>
      <w:r w:rsidRPr="00487781">
        <w:rPr>
          <w:rFonts w:ascii="Arial" w:eastAsiaTheme="minorEastAsia" w:hAnsi="Arial" w:cs="Arial"/>
          <w:sz w:val="22"/>
          <w:szCs w:val="22"/>
          <w:lang w:val="en-US" w:eastAsia="en-US"/>
        </w:rPr>
        <w:t>one independent Chairperson.</w:t>
      </w:r>
    </w:p>
    <w:p w:rsidR="00434708" w:rsidRDefault="00AD4BB6" w:rsidP="00AD4BB6">
      <w:pPr>
        <w:pStyle w:val="BodyText"/>
        <w:ind w:left="426" w:hanging="11"/>
        <w:rPr>
          <w:rFonts w:ascii="Arial" w:hAnsi="Arial" w:cs="Arial"/>
          <w:sz w:val="22"/>
          <w:szCs w:val="22"/>
        </w:rPr>
      </w:pPr>
      <w:r w:rsidRPr="006E1BAE">
        <w:rPr>
          <w:rFonts w:ascii="Arial" w:hAnsi="Arial" w:cs="Arial"/>
          <w:sz w:val="22"/>
          <w:szCs w:val="22"/>
        </w:rPr>
        <w:t>The m</w:t>
      </w:r>
      <w:r w:rsidR="00082C27">
        <w:rPr>
          <w:rFonts w:ascii="Arial" w:hAnsi="Arial" w:cs="Arial"/>
          <w:sz w:val="22"/>
          <w:szCs w:val="22"/>
        </w:rPr>
        <w:t xml:space="preserve">ajority of the community representatives on the committee </w:t>
      </w:r>
      <w:r w:rsidR="00CD7E5E">
        <w:rPr>
          <w:rFonts w:ascii="Arial" w:hAnsi="Arial" w:cs="Arial"/>
          <w:sz w:val="22"/>
          <w:szCs w:val="22"/>
        </w:rPr>
        <w:t>are</w:t>
      </w:r>
      <w:r w:rsidR="00082C27">
        <w:rPr>
          <w:rFonts w:ascii="Arial" w:hAnsi="Arial" w:cs="Arial"/>
          <w:sz w:val="22"/>
          <w:szCs w:val="22"/>
        </w:rPr>
        <w:t xml:space="preserve"> long term members and as such, their knowledge of the mine, operations and personnel is quite comprehensive.  As near neighbours and adjoining property owners, </w:t>
      </w:r>
      <w:r w:rsidR="00CD7E5E">
        <w:rPr>
          <w:rFonts w:ascii="Arial" w:hAnsi="Arial" w:cs="Arial"/>
          <w:sz w:val="22"/>
          <w:szCs w:val="22"/>
        </w:rPr>
        <w:t>they</w:t>
      </w:r>
      <w:r w:rsidR="00082C27">
        <w:rPr>
          <w:rFonts w:ascii="Arial" w:hAnsi="Arial" w:cs="Arial"/>
          <w:sz w:val="22"/>
          <w:szCs w:val="22"/>
        </w:rPr>
        <w:t xml:space="preserve"> are an integral part of the broader community</w:t>
      </w:r>
      <w:r w:rsidR="00CD7E5E">
        <w:rPr>
          <w:rFonts w:ascii="Arial" w:hAnsi="Arial" w:cs="Arial"/>
          <w:sz w:val="22"/>
          <w:szCs w:val="22"/>
        </w:rPr>
        <w:t xml:space="preserve"> and</w:t>
      </w:r>
      <w:r w:rsidR="00082C27">
        <w:rPr>
          <w:rFonts w:ascii="Arial" w:hAnsi="Arial" w:cs="Arial"/>
          <w:sz w:val="22"/>
          <w:szCs w:val="22"/>
        </w:rPr>
        <w:t xml:space="preserve"> </w:t>
      </w:r>
      <w:r w:rsidR="00A945C7">
        <w:rPr>
          <w:rFonts w:ascii="Arial" w:hAnsi="Arial" w:cs="Arial"/>
          <w:sz w:val="22"/>
          <w:szCs w:val="22"/>
        </w:rPr>
        <w:t>demonstrate</w:t>
      </w:r>
      <w:r w:rsidR="00082C27">
        <w:rPr>
          <w:rFonts w:ascii="Arial" w:hAnsi="Arial" w:cs="Arial"/>
          <w:sz w:val="22"/>
          <w:szCs w:val="22"/>
        </w:rPr>
        <w:t xml:space="preserve"> a strong commitment to their area and their </w:t>
      </w:r>
      <w:r w:rsidR="00434708">
        <w:rPr>
          <w:rFonts w:ascii="Arial" w:hAnsi="Arial" w:cs="Arial"/>
          <w:sz w:val="22"/>
          <w:szCs w:val="22"/>
        </w:rPr>
        <w:t>involvement i</w:t>
      </w:r>
      <w:r w:rsidR="00082C27">
        <w:rPr>
          <w:rFonts w:ascii="Arial" w:hAnsi="Arial" w:cs="Arial"/>
          <w:sz w:val="22"/>
          <w:szCs w:val="22"/>
        </w:rPr>
        <w:t>n the committee.  Accordingly, m</w:t>
      </w:r>
      <w:r w:rsidRPr="006E1BAE">
        <w:rPr>
          <w:rFonts w:ascii="Arial" w:hAnsi="Arial" w:cs="Arial"/>
          <w:sz w:val="22"/>
          <w:szCs w:val="22"/>
        </w:rPr>
        <w:t xml:space="preserve">eetings are well attended and </w:t>
      </w:r>
      <w:r w:rsidR="00082C27">
        <w:rPr>
          <w:rFonts w:ascii="Arial" w:hAnsi="Arial" w:cs="Arial"/>
          <w:sz w:val="22"/>
          <w:szCs w:val="22"/>
        </w:rPr>
        <w:t>succinct</w:t>
      </w:r>
      <w:r w:rsidR="00434708">
        <w:rPr>
          <w:rFonts w:ascii="Arial" w:hAnsi="Arial" w:cs="Arial"/>
          <w:sz w:val="22"/>
          <w:szCs w:val="22"/>
        </w:rPr>
        <w:t xml:space="preserve"> with detailed </w:t>
      </w:r>
      <w:r w:rsidR="002C571D">
        <w:rPr>
          <w:rFonts w:ascii="Arial" w:hAnsi="Arial" w:cs="Arial"/>
          <w:sz w:val="22"/>
          <w:szCs w:val="22"/>
        </w:rPr>
        <w:t>P</w:t>
      </w:r>
      <w:r w:rsidR="00434708">
        <w:rPr>
          <w:rFonts w:ascii="Arial" w:hAnsi="Arial" w:cs="Arial"/>
          <w:sz w:val="22"/>
          <w:szCs w:val="22"/>
        </w:rPr>
        <w:t>ower</w:t>
      </w:r>
      <w:r w:rsidR="002C571D">
        <w:rPr>
          <w:rFonts w:ascii="Arial" w:hAnsi="Arial" w:cs="Arial"/>
          <w:sz w:val="22"/>
          <w:szCs w:val="22"/>
        </w:rPr>
        <w:t>P</w:t>
      </w:r>
      <w:r w:rsidR="00434708">
        <w:rPr>
          <w:rFonts w:ascii="Arial" w:hAnsi="Arial" w:cs="Arial"/>
          <w:sz w:val="22"/>
          <w:szCs w:val="22"/>
        </w:rPr>
        <w:t>oint presentations given by Austar representatives</w:t>
      </w:r>
      <w:r w:rsidR="00A945C7">
        <w:rPr>
          <w:rFonts w:ascii="Arial" w:hAnsi="Arial" w:cs="Arial"/>
          <w:sz w:val="22"/>
          <w:szCs w:val="22"/>
        </w:rPr>
        <w:t xml:space="preserve"> to each meeting.</w:t>
      </w:r>
    </w:p>
    <w:p w:rsidR="00AD4BB6" w:rsidRDefault="00434708" w:rsidP="00AD4BB6">
      <w:pPr>
        <w:pStyle w:val="BodyText"/>
        <w:ind w:left="426" w:hanging="11"/>
        <w:rPr>
          <w:rFonts w:ascii="Arial" w:hAnsi="Arial" w:cs="Arial"/>
          <w:sz w:val="22"/>
          <w:szCs w:val="22"/>
        </w:rPr>
      </w:pPr>
      <w:r>
        <w:rPr>
          <w:rFonts w:ascii="Arial" w:hAnsi="Arial" w:cs="Arial"/>
          <w:sz w:val="22"/>
          <w:szCs w:val="22"/>
        </w:rPr>
        <w:t xml:space="preserve">Matters discussed during the reporting period </w:t>
      </w:r>
      <w:r w:rsidR="000F7735">
        <w:rPr>
          <w:rFonts w:ascii="Arial" w:hAnsi="Arial" w:cs="Arial"/>
          <w:sz w:val="22"/>
          <w:szCs w:val="22"/>
        </w:rPr>
        <w:t xml:space="preserve">were diverse, </w:t>
      </w:r>
      <w:r>
        <w:rPr>
          <w:rFonts w:ascii="Arial" w:hAnsi="Arial" w:cs="Arial"/>
          <w:sz w:val="22"/>
          <w:szCs w:val="22"/>
        </w:rPr>
        <w:t>rang</w:t>
      </w:r>
      <w:r w:rsidR="000F7735">
        <w:rPr>
          <w:rFonts w:ascii="Arial" w:hAnsi="Arial" w:cs="Arial"/>
          <w:sz w:val="22"/>
          <w:szCs w:val="22"/>
        </w:rPr>
        <w:t>ing</w:t>
      </w:r>
      <w:r>
        <w:rPr>
          <w:rFonts w:ascii="Arial" w:hAnsi="Arial" w:cs="Arial"/>
          <w:sz w:val="22"/>
          <w:szCs w:val="22"/>
        </w:rPr>
        <w:t xml:space="preserve"> from current operations and exploration</w:t>
      </w:r>
      <w:r w:rsidR="000F7735">
        <w:rPr>
          <w:rFonts w:ascii="Arial" w:hAnsi="Arial" w:cs="Arial"/>
          <w:sz w:val="22"/>
          <w:szCs w:val="22"/>
        </w:rPr>
        <w:t>, redeployment of staff to other operations</w:t>
      </w:r>
      <w:r w:rsidR="00A945C7">
        <w:rPr>
          <w:rFonts w:ascii="Arial" w:hAnsi="Arial" w:cs="Arial"/>
          <w:sz w:val="22"/>
          <w:szCs w:val="22"/>
        </w:rPr>
        <w:t xml:space="preserve"> because of a workforce stand down</w:t>
      </w:r>
      <w:r w:rsidR="000F7735">
        <w:rPr>
          <w:rFonts w:ascii="Arial" w:hAnsi="Arial" w:cs="Arial"/>
          <w:sz w:val="22"/>
          <w:szCs w:val="22"/>
        </w:rPr>
        <w:t xml:space="preserve">, introduction of new committee members </w:t>
      </w:r>
      <w:r>
        <w:rPr>
          <w:rFonts w:ascii="Arial" w:hAnsi="Arial" w:cs="Arial"/>
          <w:sz w:val="22"/>
          <w:szCs w:val="22"/>
        </w:rPr>
        <w:t>to reforms to the Coal Mine Subsidence Compensation Act and subsidence claim procedures</w:t>
      </w:r>
      <w:r w:rsidR="000F7735">
        <w:rPr>
          <w:rFonts w:ascii="Arial" w:hAnsi="Arial" w:cs="Arial"/>
          <w:sz w:val="22"/>
          <w:szCs w:val="22"/>
        </w:rPr>
        <w:t>.</w:t>
      </w:r>
      <w:r w:rsidR="009B03C1">
        <w:rPr>
          <w:rFonts w:ascii="Arial" w:hAnsi="Arial" w:cs="Arial"/>
          <w:sz w:val="22"/>
          <w:szCs w:val="22"/>
        </w:rPr>
        <w:t xml:space="preserve">  </w:t>
      </w:r>
      <w:r w:rsidR="00AD4BB6">
        <w:rPr>
          <w:rFonts w:ascii="Arial" w:hAnsi="Arial" w:cs="Arial"/>
          <w:sz w:val="22"/>
          <w:szCs w:val="22"/>
        </w:rPr>
        <w:t>Other topics of discussion for the reporting period also included</w:t>
      </w:r>
      <w:r w:rsidR="00A945C7">
        <w:rPr>
          <w:rFonts w:ascii="Arial" w:hAnsi="Arial" w:cs="Arial"/>
          <w:sz w:val="22"/>
          <w:szCs w:val="22"/>
        </w:rPr>
        <w:t xml:space="preserve"> but not limited to</w:t>
      </w:r>
      <w:r w:rsidR="00AD4BB6">
        <w:rPr>
          <w:rFonts w:ascii="Arial" w:hAnsi="Arial" w:cs="Arial"/>
          <w:sz w:val="22"/>
          <w:szCs w:val="22"/>
        </w:rPr>
        <w:t>:</w:t>
      </w:r>
    </w:p>
    <w:p w:rsidR="00AD4BB6" w:rsidRDefault="00AD4BB6" w:rsidP="00AD4BB6">
      <w:pPr>
        <w:pStyle w:val="ListBullet0"/>
        <w:numPr>
          <w:ilvl w:val="0"/>
          <w:numId w:val="6"/>
        </w:numPr>
        <w:rPr>
          <w:rFonts w:ascii="Arial" w:eastAsiaTheme="minorEastAsia" w:hAnsi="Arial" w:cs="Arial"/>
          <w:sz w:val="22"/>
          <w:szCs w:val="22"/>
          <w:lang w:val="en-US" w:eastAsia="en-US"/>
        </w:rPr>
      </w:pPr>
      <w:r>
        <w:rPr>
          <w:rFonts w:ascii="Arial" w:eastAsiaTheme="minorEastAsia" w:hAnsi="Arial" w:cs="Arial"/>
          <w:sz w:val="22"/>
          <w:szCs w:val="22"/>
          <w:lang w:val="en-US" w:eastAsia="en-US"/>
        </w:rPr>
        <w:t xml:space="preserve">general environmental management </w:t>
      </w:r>
      <w:r w:rsidR="009B03C1">
        <w:rPr>
          <w:rFonts w:ascii="Arial" w:eastAsiaTheme="minorEastAsia" w:hAnsi="Arial" w:cs="Arial"/>
          <w:sz w:val="22"/>
          <w:szCs w:val="22"/>
          <w:lang w:val="en-US" w:eastAsia="en-US"/>
        </w:rPr>
        <w:t>and</w:t>
      </w:r>
      <w:r>
        <w:rPr>
          <w:rFonts w:ascii="Arial" w:eastAsiaTheme="minorEastAsia" w:hAnsi="Arial" w:cs="Arial"/>
          <w:sz w:val="22"/>
          <w:szCs w:val="22"/>
          <w:lang w:val="en-US" w:eastAsia="en-US"/>
        </w:rPr>
        <w:t xml:space="preserve"> monitoring, including air quality, noise, </w:t>
      </w:r>
      <w:r w:rsidR="002C571D">
        <w:rPr>
          <w:rFonts w:ascii="Arial" w:eastAsiaTheme="minorEastAsia" w:hAnsi="Arial" w:cs="Arial"/>
          <w:sz w:val="22"/>
          <w:szCs w:val="22"/>
          <w:lang w:val="en-US" w:eastAsia="en-US"/>
        </w:rPr>
        <w:t xml:space="preserve">surface water </w:t>
      </w:r>
      <w:r>
        <w:rPr>
          <w:rFonts w:ascii="Arial" w:eastAsiaTheme="minorEastAsia" w:hAnsi="Arial" w:cs="Arial"/>
          <w:sz w:val="22"/>
          <w:szCs w:val="22"/>
          <w:lang w:val="en-US" w:eastAsia="en-US"/>
        </w:rPr>
        <w:t>and groundwater</w:t>
      </w:r>
    </w:p>
    <w:p w:rsidR="000F7735" w:rsidRDefault="000F7735" w:rsidP="00AD4BB6">
      <w:pPr>
        <w:pStyle w:val="ListBullet0"/>
        <w:numPr>
          <w:ilvl w:val="0"/>
          <w:numId w:val="6"/>
        </w:numPr>
        <w:rPr>
          <w:rFonts w:ascii="Arial" w:eastAsiaTheme="minorEastAsia" w:hAnsi="Arial" w:cs="Arial"/>
          <w:sz w:val="22"/>
          <w:szCs w:val="22"/>
          <w:lang w:val="en-US" w:eastAsia="en-US"/>
        </w:rPr>
      </w:pPr>
      <w:r>
        <w:rPr>
          <w:rFonts w:ascii="Arial" w:eastAsiaTheme="minorEastAsia" w:hAnsi="Arial" w:cs="Arial"/>
          <w:sz w:val="22"/>
          <w:szCs w:val="22"/>
          <w:lang w:val="en-US" w:eastAsia="en-US"/>
        </w:rPr>
        <w:t xml:space="preserve">variation to environmental protection </w:t>
      </w:r>
      <w:proofErr w:type="spellStart"/>
      <w:r>
        <w:rPr>
          <w:rFonts w:ascii="Arial" w:eastAsiaTheme="minorEastAsia" w:hAnsi="Arial" w:cs="Arial"/>
          <w:sz w:val="22"/>
          <w:szCs w:val="22"/>
          <w:lang w:val="en-US" w:eastAsia="en-US"/>
        </w:rPr>
        <w:t>licence</w:t>
      </w:r>
      <w:proofErr w:type="spellEnd"/>
      <w:r>
        <w:rPr>
          <w:rFonts w:ascii="Arial" w:eastAsiaTheme="minorEastAsia" w:hAnsi="Arial" w:cs="Arial"/>
          <w:sz w:val="22"/>
          <w:szCs w:val="22"/>
          <w:lang w:val="en-US" w:eastAsia="en-US"/>
        </w:rPr>
        <w:t xml:space="preserve"> and Annual Return</w:t>
      </w:r>
    </w:p>
    <w:p w:rsidR="009B03C1" w:rsidRDefault="009B03C1" w:rsidP="00AD4BB6">
      <w:pPr>
        <w:pStyle w:val="ListBullet0"/>
        <w:numPr>
          <w:ilvl w:val="0"/>
          <w:numId w:val="6"/>
        </w:numPr>
        <w:rPr>
          <w:rFonts w:ascii="Arial" w:eastAsiaTheme="minorEastAsia" w:hAnsi="Arial" w:cs="Arial"/>
          <w:sz w:val="22"/>
          <w:szCs w:val="22"/>
          <w:lang w:val="en-US" w:eastAsia="en-US"/>
        </w:rPr>
      </w:pPr>
      <w:r>
        <w:rPr>
          <w:rFonts w:ascii="Arial" w:eastAsiaTheme="minorEastAsia" w:hAnsi="Arial" w:cs="Arial"/>
          <w:sz w:val="22"/>
          <w:szCs w:val="22"/>
          <w:lang w:val="en-US" w:eastAsia="en-US"/>
        </w:rPr>
        <w:t>Bushfire management</w:t>
      </w:r>
    </w:p>
    <w:p w:rsidR="000F7735" w:rsidRDefault="000F7735" w:rsidP="00AD4BB6">
      <w:pPr>
        <w:pStyle w:val="ListBullet0"/>
        <w:numPr>
          <w:ilvl w:val="0"/>
          <w:numId w:val="6"/>
        </w:numPr>
        <w:rPr>
          <w:rFonts w:ascii="Arial" w:eastAsiaTheme="minorEastAsia" w:hAnsi="Arial" w:cs="Arial"/>
          <w:sz w:val="22"/>
          <w:szCs w:val="22"/>
          <w:lang w:val="en-US" w:eastAsia="en-US"/>
        </w:rPr>
      </w:pPr>
      <w:proofErr w:type="spellStart"/>
      <w:r>
        <w:rPr>
          <w:rFonts w:ascii="Arial" w:eastAsiaTheme="minorEastAsia" w:hAnsi="Arial" w:cs="Arial"/>
          <w:sz w:val="22"/>
          <w:szCs w:val="22"/>
          <w:lang w:val="en-US" w:eastAsia="en-US"/>
        </w:rPr>
        <w:t>tresspass</w:t>
      </w:r>
      <w:proofErr w:type="spellEnd"/>
      <w:r>
        <w:rPr>
          <w:rFonts w:ascii="Arial" w:eastAsiaTheme="minorEastAsia" w:hAnsi="Arial" w:cs="Arial"/>
          <w:sz w:val="22"/>
          <w:szCs w:val="22"/>
          <w:lang w:val="en-US" w:eastAsia="en-US"/>
        </w:rPr>
        <w:t xml:space="preserve"> and illegal removal of trees on Austar land</w:t>
      </w:r>
    </w:p>
    <w:p w:rsidR="009B03C1" w:rsidRDefault="009B03C1" w:rsidP="00AD4BB6">
      <w:pPr>
        <w:pStyle w:val="ListBullet0"/>
        <w:numPr>
          <w:ilvl w:val="0"/>
          <w:numId w:val="6"/>
        </w:numPr>
        <w:rPr>
          <w:rFonts w:ascii="Arial" w:eastAsiaTheme="minorEastAsia" w:hAnsi="Arial" w:cs="Arial"/>
          <w:sz w:val="22"/>
          <w:szCs w:val="22"/>
          <w:lang w:val="en-US" w:eastAsia="en-US"/>
        </w:rPr>
      </w:pPr>
      <w:r>
        <w:rPr>
          <w:rFonts w:ascii="Arial" w:eastAsiaTheme="minorEastAsia" w:hAnsi="Arial" w:cs="Arial"/>
          <w:sz w:val="22"/>
          <w:szCs w:val="22"/>
          <w:lang w:val="en-US" w:eastAsia="en-US"/>
        </w:rPr>
        <w:t>subsidence and vibration monitoring</w:t>
      </w:r>
    </w:p>
    <w:p w:rsidR="009B03C1" w:rsidRDefault="009B03C1" w:rsidP="00AD4BB6">
      <w:pPr>
        <w:pStyle w:val="ListBullet0"/>
        <w:numPr>
          <w:ilvl w:val="0"/>
          <w:numId w:val="6"/>
        </w:numPr>
        <w:rPr>
          <w:rFonts w:ascii="Arial" w:eastAsiaTheme="minorEastAsia" w:hAnsi="Arial" w:cs="Arial"/>
          <w:sz w:val="22"/>
          <w:szCs w:val="22"/>
          <w:lang w:val="en-US" w:eastAsia="en-US"/>
        </w:rPr>
      </w:pPr>
      <w:r>
        <w:rPr>
          <w:rFonts w:ascii="Arial" w:eastAsiaTheme="minorEastAsia" w:hAnsi="Arial" w:cs="Arial"/>
          <w:sz w:val="22"/>
          <w:szCs w:val="22"/>
          <w:lang w:val="en-US" w:eastAsia="en-US"/>
        </w:rPr>
        <w:t xml:space="preserve">environmental incidents </w:t>
      </w:r>
    </w:p>
    <w:p w:rsidR="00AD4BB6" w:rsidRDefault="00AD4BB6" w:rsidP="00AD4BB6">
      <w:pPr>
        <w:pStyle w:val="ListBullet0"/>
        <w:numPr>
          <w:ilvl w:val="0"/>
          <w:numId w:val="6"/>
        </w:numPr>
        <w:rPr>
          <w:rFonts w:ascii="Arial" w:eastAsiaTheme="minorEastAsia" w:hAnsi="Arial" w:cs="Arial"/>
          <w:sz w:val="22"/>
          <w:szCs w:val="22"/>
          <w:lang w:val="en-US" w:eastAsia="en-US"/>
        </w:rPr>
      </w:pPr>
      <w:r>
        <w:rPr>
          <w:rFonts w:ascii="Arial" w:eastAsiaTheme="minorEastAsia" w:hAnsi="Arial" w:cs="Arial"/>
          <w:sz w:val="22"/>
          <w:szCs w:val="22"/>
          <w:lang w:val="en-US" w:eastAsia="en-US"/>
        </w:rPr>
        <w:t>community complaints</w:t>
      </w:r>
    </w:p>
    <w:p w:rsidR="00AD4BB6" w:rsidRDefault="00AD4BB6" w:rsidP="00AD4BB6">
      <w:pPr>
        <w:pStyle w:val="ListBullet0"/>
        <w:numPr>
          <w:ilvl w:val="0"/>
          <w:numId w:val="6"/>
        </w:numPr>
        <w:rPr>
          <w:rFonts w:ascii="Arial" w:eastAsiaTheme="minorEastAsia" w:hAnsi="Arial" w:cs="Arial"/>
          <w:sz w:val="22"/>
          <w:szCs w:val="22"/>
          <w:lang w:val="en-US" w:eastAsia="en-US"/>
        </w:rPr>
      </w:pPr>
      <w:r>
        <w:rPr>
          <w:rFonts w:ascii="Arial" w:eastAsiaTheme="minorEastAsia" w:hAnsi="Arial" w:cs="Arial"/>
          <w:sz w:val="22"/>
          <w:szCs w:val="22"/>
          <w:lang w:val="en-US" w:eastAsia="en-US"/>
        </w:rPr>
        <w:t xml:space="preserve">community </w:t>
      </w:r>
      <w:r w:rsidR="009B03C1">
        <w:rPr>
          <w:rFonts w:ascii="Arial" w:eastAsiaTheme="minorEastAsia" w:hAnsi="Arial" w:cs="Arial"/>
          <w:sz w:val="22"/>
          <w:szCs w:val="22"/>
          <w:lang w:val="en-US" w:eastAsia="en-US"/>
        </w:rPr>
        <w:t>sponsorship</w:t>
      </w:r>
    </w:p>
    <w:p w:rsidR="00AD4BB6" w:rsidRDefault="009B03C1" w:rsidP="00AD4BB6">
      <w:pPr>
        <w:pStyle w:val="ListBullet0"/>
        <w:numPr>
          <w:ilvl w:val="0"/>
          <w:numId w:val="6"/>
        </w:numPr>
        <w:rPr>
          <w:rFonts w:ascii="Arial" w:eastAsiaTheme="minorEastAsia" w:hAnsi="Arial" w:cs="Arial"/>
          <w:sz w:val="22"/>
          <w:szCs w:val="22"/>
          <w:lang w:val="en-US" w:eastAsia="en-US"/>
        </w:rPr>
      </w:pPr>
      <w:r>
        <w:rPr>
          <w:rFonts w:ascii="Arial" w:eastAsiaTheme="minorEastAsia" w:hAnsi="Arial" w:cs="Arial"/>
          <w:sz w:val="22"/>
          <w:szCs w:val="22"/>
          <w:lang w:val="en-US" w:eastAsia="en-US"/>
        </w:rPr>
        <w:t>Independent Environment Audit</w:t>
      </w:r>
    </w:p>
    <w:p w:rsidR="00AD4BB6" w:rsidRDefault="009B03C1" w:rsidP="00AD4BB6">
      <w:pPr>
        <w:pStyle w:val="ListBullet0"/>
        <w:numPr>
          <w:ilvl w:val="0"/>
          <w:numId w:val="6"/>
        </w:numPr>
        <w:rPr>
          <w:rFonts w:ascii="Arial" w:eastAsiaTheme="minorEastAsia" w:hAnsi="Arial" w:cs="Arial"/>
          <w:sz w:val="22"/>
          <w:szCs w:val="22"/>
          <w:lang w:val="en-US" w:eastAsia="en-US"/>
        </w:rPr>
      </w:pPr>
      <w:r>
        <w:rPr>
          <w:rFonts w:ascii="Arial" w:eastAsiaTheme="minorEastAsia" w:hAnsi="Arial" w:cs="Arial"/>
          <w:sz w:val="22"/>
          <w:szCs w:val="22"/>
          <w:lang w:val="en-US" w:eastAsia="en-US"/>
        </w:rPr>
        <w:t>proposed underground site visit</w:t>
      </w:r>
    </w:p>
    <w:p w:rsidR="00AD4BB6" w:rsidRPr="00812585" w:rsidRDefault="00A945C7" w:rsidP="00AD4BB6">
      <w:pPr>
        <w:pStyle w:val="BodyText"/>
        <w:ind w:left="720"/>
        <w:rPr>
          <w:rFonts w:ascii="Arial" w:hAnsi="Arial" w:cs="Arial"/>
          <w:sz w:val="22"/>
          <w:szCs w:val="22"/>
        </w:rPr>
      </w:pPr>
      <w:r>
        <w:rPr>
          <w:rFonts w:ascii="Arial" w:hAnsi="Arial" w:cs="Arial"/>
          <w:sz w:val="22"/>
          <w:szCs w:val="22"/>
        </w:rPr>
        <w:t xml:space="preserve">The number of complaints are minimal and seems to indicate an acceptance of the history and coexistence of mining in the area and the mine operating in accordance with its regulatory requirements.  </w:t>
      </w:r>
      <w:r w:rsidR="00AD4BB6">
        <w:rPr>
          <w:rFonts w:ascii="Arial" w:hAnsi="Arial" w:cs="Arial"/>
          <w:sz w:val="22"/>
          <w:szCs w:val="22"/>
        </w:rPr>
        <w:t xml:space="preserve">A good rapport exists amongst </w:t>
      </w:r>
      <w:r w:rsidR="00AD4BB6" w:rsidRPr="00812585">
        <w:rPr>
          <w:rFonts w:ascii="Arial" w:hAnsi="Arial" w:cs="Arial"/>
          <w:sz w:val="22"/>
          <w:szCs w:val="22"/>
        </w:rPr>
        <w:t xml:space="preserve">all members </w:t>
      </w:r>
      <w:r>
        <w:rPr>
          <w:rFonts w:ascii="Arial" w:hAnsi="Arial" w:cs="Arial"/>
          <w:sz w:val="22"/>
          <w:szCs w:val="22"/>
        </w:rPr>
        <w:t xml:space="preserve">who clearly understand their roles </w:t>
      </w:r>
      <w:r w:rsidR="00AD4BB6" w:rsidRPr="00812585">
        <w:rPr>
          <w:rFonts w:ascii="Arial" w:hAnsi="Arial" w:cs="Arial"/>
          <w:sz w:val="22"/>
          <w:szCs w:val="22"/>
        </w:rPr>
        <w:t>and th</w:t>
      </w:r>
      <w:r>
        <w:rPr>
          <w:rFonts w:ascii="Arial" w:hAnsi="Arial" w:cs="Arial"/>
          <w:sz w:val="22"/>
          <w:szCs w:val="22"/>
        </w:rPr>
        <w:t>e</w:t>
      </w:r>
      <w:r w:rsidR="00AD4BB6" w:rsidRPr="00812585">
        <w:rPr>
          <w:rFonts w:ascii="Arial" w:hAnsi="Arial" w:cs="Arial"/>
          <w:sz w:val="22"/>
          <w:szCs w:val="22"/>
        </w:rPr>
        <w:t xml:space="preserve"> committee functions well</w:t>
      </w:r>
      <w:r w:rsidR="00AD4BB6">
        <w:rPr>
          <w:rFonts w:ascii="Arial" w:hAnsi="Arial" w:cs="Arial"/>
          <w:sz w:val="22"/>
          <w:szCs w:val="22"/>
        </w:rPr>
        <w:t>.</w:t>
      </w:r>
      <w:r w:rsidR="00AD4BB6" w:rsidRPr="00812585">
        <w:rPr>
          <w:rFonts w:ascii="Arial" w:hAnsi="Arial" w:cs="Arial"/>
          <w:sz w:val="22"/>
          <w:szCs w:val="22"/>
        </w:rPr>
        <w:t xml:space="preserve"> </w:t>
      </w:r>
    </w:p>
    <w:p w:rsidR="00AD4BB6" w:rsidRPr="0001385C" w:rsidRDefault="00AD4BB6" w:rsidP="00AD4BB6">
      <w:pPr>
        <w:pStyle w:val="Heading2"/>
        <w:numPr>
          <w:ilvl w:val="0"/>
          <w:numId w:val="1"/>
        </w:numPr>
        <w:spacing w:after="120"/>
        <w:ind w:left="714" w:hanging="357"/>
        <w:rPr>
          <w:rFonts w:ascii="Arial" w:hAnsi="Arial"/>
          <w:color w:val="365F91" w:themeColor="accent1" w:themeShade="BF"/>
          <w:sz w:val="26"/>
          <w:szCs w:val="26"/>
        </w:rPr>
      </w:pPr>
      <w:r w:rsidRPr="0001385C">
        <w:rPr>
          <w:rFonts w:ascii="Arial" w:hAnsi="Arial"/>
          <w:color w:val="365F91" w:themeColor="accent1" w:themeShade="BF"/>
          <w:sz w:val="26"/>
          <w:szCs w:val="26"/>
        </w:rPr>
        <w:t xml:space="preserve">CCC </w:t>
      </w:r>
      <w:r>
        <w:rPr>
          <w:rFonts w:ascii="Arial" w:hAnsi="Arial"/>
          <w:color w:val="365F91" w:themeColor="accent1" w:themeShade="BF"/>
          <w:sz w:val="26"/>
          <w:szCs w:val="26"/>
        </w:rPr>
        <w:t>a</w:t>
      </w:r>
      <w:r w:rsidRPr="0001385C">
        <w:rPr>
          <w:rFonts w:ascii="Arial" w:hAnsi="Arial"/>
          <w:color w:val="365F91" w:themeColor="accent1" w:themeShade="BF"/>
          <w:sz w:val="26"/>
          <w:szCs w:val="26"/>
        </w:rPr>
        <w:t>ctivities over last 12 months</w:t>
      </w:r>
    </w:p>
    <w:p w:rsidR="00434708" w:rsidRDefault="00AD4BB6" w:rsidP="00AD4BB6">
      <w:pPr>
        <w:pStyle w:val="BodyText"/>
        <w:numPr>
          <w:ilvl w:val="0"/>
          <w:numId w:val="2"/>
        </w:numPr>
        <w:rPr>
          <w:rFonts w:ascii="Arial" w:hAnsi="Arial" w:cs="Arial"/>
          <w:sz w:val="22"/>
          <w:szCs w:val="22"/>
        </w:rPr>
      </w:pPr>
      <w:r w:rsidRPr="00434708">
        <w:rPr>
          <w:rFonts w:ascii="Arial" w:hAnsi="Arial" w:cs="Arial"/>
          <w:sz w:val="22"/>
          <w:szCs w:val="22"/>
        </w:rPr>
        <w:t xml:space="preserve">Committee meetings were held in the months of February, May, August and November 2018.  </w:t>
      </w:r>
    </w:p>
    <w:p w:rsidR="00AD4BB6" w:rsidRPr="00434708" w:rsidRDefault="00AD4BB6" w:rsidP="00AD4BB6">
      <w:pPr>
        <w:pStyle w:val="BodyText"/>
        <w:numPr>
          <w:ilvl w:val="0"/>
          <w:numId w:val="2"/>
        </w:numPr>
        <w:rPr>
          <w:rFonts w:ascii="Arial" w:hAnsi="Arial" w:cs="Arial"/>
          <w:sz w:val="22"/>
          <w:szCs w:val="22"/>
        </w:rPr>
      </w:pPr>
      <w:r w:rsidRPr="00434708">
        <w:rPr>
          <w:rFonts w:ascii="Arial" w:hAnsi="Arial" w:cs="Arial"/>
          <w:sz w:val="22"/>
          <w:szCs w:val="22"/>
        </w:rPr>
        <w:t xml:space="preserve">Attendance at meetings is </w:t>
      </w:r>
      <w:r w:rsidR="00A862D9">
        <w:rPr>
          <w:rFonts w:ascii="Arial" w:hAnsi="Arial" w:cs="Arial"/>
          <w:sz w:val="22"/>
          <w:szCs w:val="22"/>
        </w:rPr>
        <w:t>consistent</w:t>
      </w:r>
      <w:r w:rsidRPr="00434708">
        <w:rPr>
          <w:rFonts w:ascii="Arial" w:hAnsi="Arial" w:cs="Arial"/>
          <w:sz w:val="22"/>
          <w:szCs w:val="22"/>
        </w:rPr>
        <w:t xml:space="preserve">, other than occasional apologies due to unforseen commitments.  The committee sets its meeting dates at the end of each calendar year for the ensuing year to avoid any known potential conflicts.  </w:t>
      </w:r>
    </w:p>
    <w:p w:rsidR="00A862D9" w:rsidRPr="00A862D9" w:rsidRDefault="00A862D9" w:rsidP="00AD4BB6">
      <w:pPr>
        <w:pStyle w:val="BodyText"/>
        <w:numPr>
          <w:ilvl w:val="0"/>
          <w:numId w:val="2"/>
        </w:numPr>
        <w:rPr>
          <w:rFonts w:ascii="Arial" w:hAnsi="Arial" w:cs="Arial"/>
          <w:sz w:val="22"/>
          <w:szCs w:val="22"/>
        </w:rPr>
      </w:pPr>
      <w:r w:rsidRPr="00A862D9">
        <w:rPr>
          <w:rFonts w:ascii="Arial" w:eastAsiaTheme="minorEastAsia" w:hAnsi="Arial" w:cs="Arial"/>
          <w:sz w:val="22"/>
          <w:szCs w:val="22"/>
          <w:lang w:val="en-US" w:eastAsia="en-US"/>
        </w:rPr>
        <w:t xml:space="preserve">A </w:t>
      </w:r>
      <w:r>
        <w:rPr>
          <w:rFonts w:ascii="Arial" w:eastAsiaTheme="minorEastAsia" w:hAnsi="Arial" w:cs="Arial"/>
          <w:sz w:val="22"/>
          <w:szCs w:val="22"/>
          <w:lang w:val="en-US" w:eastAsia="en-US"/>
        </w:rPr>
        <w:t xml:space="preserve">comprehensive </w:t>
      </w:r>
      <w:r w:rsidR="00AD4BB6" w:rsidRPr="00A862D9">
        <w:rPr>
          <w:rFonts w:ascii="Arial" w:eastAsiaTheme="minorEastAsia" w:hAnsi="Arial" w:cs="Arial"/>
          <w:sz w:val="22"/>
          <w:szCs w:val="22"/>
          <w:lang w:val="en-US" w:eastAsia="en-US"/>
        </w:rPr>
        <w:t>site tour</w:t>
      </w:r>
      <w:r w:rsidRPr="00A862D9">
        <w:rPr>
          <w:rFonts w:ascii="Arial" w:eastAsiaTheme="minorEastAsia" w:hAnsi="Arial" w:cs="Arial"/>
          <w:sz w:val="22"/>
          <w:szCs w:val="22"/>
          <w:lang w:val="en-US" w:eastAsia="en-US"/>
        </w:rPr>
        <w:t xml:space="preserve"> of the Austar operations was undertaken a</w:t>
      </w:r>
      <w:r w:rsidR="00AD4BB6" w:rsidRPr="00A862D9">
        <w:rPr>
          <w:rFonts w:ascii="Arial" w:eastAsiaTheme="minorEastAsia" w:hAnsi="Arial" w:cs="Arial"/>
          <w:sz w:val="22"/>
          <w:szCs w:val="22"/>
          <w:lang w:val="en-US" w:eastAsia="en-US"/>
        </w:rPr>
        <w:t>s</w:t>
      </w:r>
      <w:r w:rsidRPr="00A862D9">
        <w:rPr>
          <w:rFonts w:ascii="Arial" w:eastAsiaTheme="minorEastAsia" w:hAnsi="Arial" w:cs="Arial"/>
          <w:sz w:val="22"/>
          <w:szCs w:val="22"/>
          <w:lang w:val="en-US" w:eastAsia="en-US"/>
        </w:rPr>
        <w:t xml:space="preserve"> part of the February meeting for the benefit of the new members</w:t>
      </w:r>
      <w:r w:rsidR="002C571D">
        <w:rPr>
          <w:rFonts w:ascii="Arial" w:eastAsiaTheme="minorEastAsia" w:hAnsi="Arial" w:cs="Arial"/>
          <w:sz w:val="22"/>
          <w:szCs w:val="22"/>
          <w:lang w:val="en-US" w:eastAsia="en-US"/>
        </w:rPr>
        <w:t>.</w:t>
      </w:r>
    </w:p>
    <w:p w:rsidR="00AD4BB6" w:rsidRPr="00675172" w:rsidRDefault="00AD4BB6" w:rsidP="00A862D9">
      <w:pPr>
        <w:pStyle w:val="BodyText"/>
        <w:numPr>
          <w:ilvl w:val="0"/>
          <w:numId w:val="2"/>
        </w:numPr>
        <w:rPr>
          <w:rFonts w:ascii="Arial" w:hAnsi="Arial" w:cs="Arial"/>
        </w:rPr>
      </w:pPr>
      <w:r w:rsidRPr="00A862D9">
        <w:rPr>
          <w:rFonts w:ascii="Arial" w:hAnsi="Arial" w:cs="Arial"/>
          <w:sz w:val="22"/>
          <w:szCs w:val="22"/>
        </w:rPr>
        <w:t>No joint CCC meetings were held during the period</w:t>
      </w:r>
      <w:r w:rsidR="00A862D9">
        <w:rPr>
          <w:rFonts w:ascii="Arial" w:hAnsi="Arial" w:cs="Arial"/>
          <w:sz w:val="22"/>
          <w:szCs w:val="22"/>
        </w:rPr>
        <w:t xml:space="preserve">. </w:t>
      </w:r>
    </w:p>
    <w:p w:rsidR="00AD4BB6" w:rsidRPr="0001385C" w:rsidRDefault="00AD4BB6" w:rsidP="00AD4BB6">
      <w:pPr>
        <w:pStyle w:val="Heading2"/>
        <w:numPr>
          <w:ilvl w:val="0"/>
          <w:numId w:val="1"/>
        </w:numPr>
        <w:spacing w:after="120"/>
        <w:ind w:left="714" w:hanging="357"/>
        <w:rPr>
          <w:rFonts w:ascii="Arial" w:hAnsi="Arial"/>
          <w:color w:val="365F91" w:themeColor="accent1" w:themeShade="BF"/>
          <w:sz w:val="26"/>
          <w:szCs w:val="26"/>
        </w:rPr>
      </w:pPr>
      <w:r w:rsidRPr="0001385C">
        <w:rPr>
          <w:rFonts w:ascii="Arial" w:hAnsi="Arial"/>
          <w:color w:val="365F91" w:themeColor="accent1" w:themeShade="BF"/>
          <w:sz w:val="26"/>
          <w:szCs w:val="26"/>
        </w:rPr>
        <w:t xml:space="preserve">Key </w:t>
      </w:r>
      <w:r>
        <w:rPr>
          <w:rFonts w:ascii="Arial" w:hAnsi="Arial"/>
          <w:color w:val="365F91" w:themeColor="accent1" w:themeShade="BF"/>
          <w:sz w:val="26"/>
          <w:szCs w:val="26"/>
        </w:rPr>
        <w:t>i</w:t>
      </w:r>
      <w:r w:rsidRPr="0001385C">
        <w:rPr>
          <w:rFonts w:ascii="Arial" w:hAnsi="Arial"/>
          <w:color w:val="365F91" w:themeColor="accent1" w:themeShade="BF"/>
          <w:sz w:val="26"/>
          <w:szCs w:val="26"/>
        </w:rPr>
        <w:t>ssues</w:t>
      </w:r>
    </w:p>
    <w:p w:rsidR="00AD4BB6" w:rsidRDefault="00A862D9" w:rsidP="00AD4BB6">
      <w:pPr>
        <w:pStyle w:val="ListBullet0"/>
        <w:numPr>
          <w:ilvl w:val="0"/>
          <w:numId w:val="0"/>
        </w:numPr>
        <w:ind w:left="360"/>
        <w:rPr>
          <w:rFonts w:ascii="Arial" w:eastAsiaTheme="minorEastAsia" w:hAnsi="Arial" w:cs="Arial"/>
          <w:sz w:val="22"/>
          <w:szCs w:val="22"/>
          <w:lang w:val="en-US" w:eastAsia="en-US"/>
        </w:rPr>
      </w:pPr>
      <w:proofErr w:type="spellStart"/>
      <w:r>
        <w:rPr>
          <w:rFonts w:ascii="Arial" w:eastAsiaTheme="minorEastAsia" w:hAnsi="Arial" w:cs="Arial"/>
          <w:sz w:val="22"/>
          <w:szCs w:val="22"/>
          <w:lang w:val="en-US" w:eastAsia="en-US"/>
        </w:rPr>
        <w:t>Austar</w:t>
      </w:r>
      <w:proofErr w:type="spellEnd"/>
      <w:r>
        <w:rPr>
          <w:rFonts w:ascii="Arial" w:eastAsiaTheme="minorEastAsia" w:hAnsi="Arial" w:cs="Arial"/>
          <w:sz w:val="22"/>
          <w:szCs w:val="22"/>
          <w:lang w:val="en-US" w:eastAsia="en-US"/>
        </w:rPr>
        <w:t xml:space="preserve"> </w:t>
      </w:r>
      <w:r w:rsidR="002C571D">
        <w:rPr>
          <w:rFonts w:ascii="Arial" w:eastAsiaTheme="minorEastAsia" w:hAnsi="Arial" w:cs="Arial"/>
          <w:sz w:val="22"/>
          <w:szCs w:val="22"/>
          <w:lang w:val="en-US" w:eastAsia="en-US"/>
        </w:rPr>
        <w:t>Coal M</w:t>
      </w:r>
      <w:r>
        <w:rPr>
          <w:rFonts w:ascii="Arial" w:eastAsiaTheme="minorEastAsia" w:hAnsi="Arial" w:cs="Arial"/>
          <w:sz w:val="22"/>
          <w:szCs w:val="22"/>
          <w:lang w:val="en-US" w:eastAsia="en-US"/>
        </w:rPr>
        <w:t xml:space="preserve">ine has faced some challenges over the last couple of years with </w:t>
      </w:r>
      <w:r w:rsidR="007D00FD">
        <w:rPr>
          <w:rFonts w:ascii="Arial" w:eastAsiaTheme="minorEastAsia" w:hAnsi="Arial" w:cs="Arial"/>
          <w:sz w:val="22"/>
          <w:szCs w:val="22"/>
          <w:lang w:val="en-US" w:eastAsia="en-US"/>
        </w:rPr>
        <w:t>geological faults, coal burst incidents and prohibition notices from the Resource</w:t>
      </w:r>
      <w:r w:rsidR="002C571D">
        <w:rPr>
          <w:rFonts w:ascii="Arial" w:eastAsiaTheme="minorEastAsia" w:hAnsi="Arial" w:cs="Arial"/>
          <w:sz w:val="22"/>
          <w:szCs w:val="22"/>
          <w:lang w:val="en-US" w:eastAsia="en-US"/>
        </w:rPr>
        <w:t>s</w:t>
      </w:r>
      <w:r w:rsidR="007D00FD">
        <w:rPr>
          <w:rFonts w:ascii="Arial" w:eastAsiaTheme="minorEastAsia" w:hAnsi="Arial" w:cs="Arial"/>
          <w:sz w:val="22"/>
          <w:szCs w:val="22"/>
          <w:lang w:val="en-US" w:eastAsia="en-US"/>
        </w:rPr>
        <w:t xml:space="preserve"> Regulator.  This has seen a stand down of the workforce, proposed mining stages put on hold and readjustment of mine plans to accommodate same.   </w:t>
      </w:r>
      <w:r w:rsidR="00AD4BB6">
        <w:rPr>
          <w:rFonts w:ascii="Arial" w:eastAsiaTheme="minorEastAsia" w:hAnsi="Arial" w:cs="Arial"/>
          <w:sz w:val="22"/>
          <w:szCs w:val="22"/>
          <w:lang w:val="en-US" w:eastAsia="en-US"/>
        </w:rPr>
        <w:t xml:space="preserve">The </w:t>
      </w:r>
      <w:r>
        <w:rPr>
          <w:rFonts w:ascii="Arial" w:eastAsiaTheme="minorEastAsia" w:hAnsi="Arial" w:cs="Arial"/>
          <w:sz w:val="22"/>
          <w:szCs w:val="22"/>
          <w:lang w:val="en-US" w:eastAsia="en-US"/>
        </w:rPr>
        <w:t xml:space="preserve">committee </w:t>
      </w:r>
      <w:r w:rsidR="00AD4BB6">
        <w:rPr>
          <w:rFonts w:ascii="Arial" w:eastAsiaTheme="minorEastAsia" w:hAnsi="Arial" w:cs="Arial"/>
          <w:sz w:val="22"/>
          <w:szCs w:val="22"/>
          <w:lang w:val="en-US" w:eastAsia="en-US"/>
        </w:rPr>
        <w:t xml:space="preserve">is supportive of the </w:t>
      </w:r>
      <w:r w:rsidR="007D00FD">
        <w:rPr>
          <w:rFonts w:ascii="Arial" w:eastAsiaTheme="minorEastAsia" w:hAnsi="Arial" w:cs="Arial"/>
          <w:sz w:val="22"/>
          <w:szCs w:val="22"/>
          <w:lang w:val="en-US" w:eastAsia="en-US"/>
        </w:rPr>
        <w:t xml:space="preserve">Austar workforce and the mine's operations in general and maintains a watching brief on its future. </w:t>
      </w:r>
    </w:p>
    <w:tbl>
      <w:tblPr>
        <w:tblStyle w:val="PlainTable11"/>
        <w:tblW w:w="0" w:type="auto"/>
        <w:tblLook w:val="04A0"/>
      </w:tblPr>
      <w:tblGrid>
        <w:gridCol w:w="1891"/>
        <w:gridCol w:w="3637"/>
        <w:gridCol w:w="3714"/>
      </w:tblGrid>
      <w:tr w:rsidR="00AD4BB6" w:rsidRPr="00675172" w:rsidTr="00D63FDF">
        <w:trPr>
          <w:cnfStyle w:val="100000000000"/>
        </w:trPr>
        <w:tc>
          <w:tcPr>
            <w:cnfStyle w:val="001000000000"/>
            <w:tcW w:w="1891" w:type="dxa"/>
          </w:tcPr>
          <w:p w:rsidR="00AD4BB6" w:rsidRPr="00675172" w:rsidRDefault="00AD4BB6" w:rsidP="00D63FDF">
            <w:pPr>
              <w:pStyle w:val="ListBullet0"/>
              <w:numPr>
                <w:ilvl w:val="0"/>
                <w:numId w:val="0"/>
              </w:numPr>
              <w:rPr>
                <w:rFonts w:ascii="Arial" w:eastAsiaTheme="minorEastAsia" w:hAnsi="Arial" w:cs="Arial"/>
                <w:b w:val="0"/>
                <w:sz w:val="22"/>
                <w:szCs w:val="22"/>
                <w:lang w:val="en-US" w:eastAsia="en-US"/>
              </w:rPr>
            </w:pPr>
            <w:r w:rsidRPr="00675172">
              <w:rPr>
                <w:rFonts w:ascii="Arial" w:eastAsiaTheme="minorEastAsia" w:hAnsi="Arial" w:cs="Arial"/>
                <w:sz w:val="22"/>
                <w:szCs w:val="22"/>
                <w:lang w:val="en-US" w:eastAsia="en-US"/>
              </w:rPr>
              <w:t>Issue</w:t>
            </w:r>
          </w:p>
        </w:tc>
        <w:tc>
          <w:tcPr>
            <w:tcW w:w="3637" w:type="dxa"/>
          </w:tcPr>
          <w:p w:rsidR="00AD4BB6" w:rsidRPr="00675172" w:rsidRDefault="00AD4BB6" w:rsidP="00D63FDF">
            <w:pPr>
              <w:pStyle w:val="ListBullet0"/>
              <w:numPr>
                <w:ilvl w:val="0"/>
                <w:numId w:val="0"/>
              </w:numPr>
              <w:cnfStyle w:val="100000000000"/>
              <w:rPr>
                <w:rFonts w:ascii="Arial" w:eastAsiaTheme="minorEastAsia" w:hAnsi="Arial" w:cs="Arial"/>
                <w:b w:val="0"/>
                <w:sz w:val="22"/>
                <w:szCs w:val="22"/>
                <w:lang w:val="en-US" w:eastAsia="en-US"/>
              </w:rPr>
            </w:pPr>
            <w:r>
              <w:rPr>
                <w:rFonts w:ascii="Arial" w:eastAsiaTheme="minorEastAsia" w:hAnsi="Arial" w:cs="Arial"/>
                <w:sz w:val="22"/>
                <w:szCs w:val="22"/>
                <w:lang w:val="en-US" w:eastAsia="en-US"/>
              </w:rPr>
              <w:t>Actions Taken</w:t>
            </w:r>
          </w:p>
        </w:tc>
        <w:tc>
          <w:tcPr>
            <w:tcW w:w="3714" w:type="dxa"/>
          </w:tcPr>
          <w:p w:rsidR="00AD4BB6" w:rsidRPr="00675172" w:rsidRDefault="00AD4BB6" w:rsidP="00D63FDF">
            <w:pPr>
              <w:pStyle w:val="ListBullet0"/>
              <w:numPr>
                <w:ilvl w:val="0"/>
                <w:numId w:val="0"/>
              </w:numPr>
              <w:cnfStyle w:val="100000000000"/>
              <w:rPr>
                <w:rFonts w:ascii="Arial" w:eastAsiaTheme="minorEastAsia" w:hAnsi="Arial" w:cs="Arial"/>
                <w:b w:val="0"/>
                <w:sz w:val="22"/>
                <w:szCs w:val="22"/>
                <w:lang w:val="en-US" w:eastAsia="en-US"/>
              </w:rPr>
            </w:pPr>
            <w:r>
              <w:rPr>
                <w:rFonts w:ascii="Arial" w:eastAsiaTheme="minorEastAsia" w:hAnsi="Arial" w:cs="Arial"/>
                <w:sz w:val="22"/>
                <w:szCs w:val="22"/>
                <w:lang w:val="en-US" w:eastAsia="en-US"/>
              </w:rPr>
              <w:t>Next Steps</w:t>
            </w:r>
          </w:p>
        </w:tc>
      </w:tr>
      <w:tr w:rsidR="00AD4BB6" w:rsidRPr="00675172" w:rsidTr="00D63FDF">
        <w:trPr>
          <w:cnfStyle w:val="000000100000"/>
        </w:trPr>
        <w:tc>
          <w:tcPr>
            <w:cnfStyle w:val="001000000000"/>
            <w:tcW w:w="1891" w:type="dxa"/>
          </w:tcPr>
          <w:p w:rsidR="003815FB" w:rsidRDefault="003815FB" w:rsidP="00D63FDF">
            <w:pPr>
              <w:pStyle w:val="ListBullet0"/>
              <w:numPr>
                <w:ilvl w:val="0"/>
                <w:numId w:val="0"/>
              </w:numPr>
              <w:rPr>
                <w:rFonts w:ascii="Arial" w:eastAsiaTheme="minorEastAsia" w:hAnsi="Arial" w:cs="Arial"/>
                <w:sz w:val="22"/>
                <w:szCs w:val="22"/>
                <w:lang w:val="en-US" w:eastAsia="en-US"/>
              </w:rPr>
            </w:pPr>
            <w:r>
              <w:rPr>
                <w:rFonts w:ascii="Arial" w:eastAsiaTheme="minorEastAsia" w:hAnsi="Arial" w:cs="Arial"/>
                <w:sz w:val="22"/>
                <w:szCs w:val="22"/>
                <w:lang w:val="en-US" w:eastAsia="en-US"/>
              </w:rPr>
              <w:t>Future mining layout and plans</w:t>
            </w:r>
          </w:p>
          <w:p w:rsidR="00AD4BB6" w:rsidRPr="00675172" w:rsidRDefault="00AD4BB6" w:rsidP="00D63FDF">
            <w:pPr>
              <w:pStyle w:val="ListBullet0"/>
              <w:numPr>
                <w:ilvl w:val="0"/>
                <w:numId w:val="0"/>
              </w:numPr>
              <w:rPr>
                <w:rFonts w:ascii="Arial" w:eastAsiaTheme="minorEastAsia" w:hAnsi="Arial" w:cs="Arial"/>
                <w:sz w:val="22"/>
                <w:szCs w:val="22"/>
                <w:lang w:val="en-US" w:eastAsia="en-US"/>
              </w:rPr>
            </w:pPr>
          </w:p>
        </w:tc>
        <w:tc>
          <w:tcPr>
            <w:tcW w:w="3637" w:type="dxa"/>
          </w:tcPr>
          <w:p w:rsidR="00AD4BB6" w:rsidRPr="00675172" w:rsidRDefault="00AD4BB6" w:rsidP="003815FB">
            <w:pPr>
              <w:pStyle w:val="ListBullet0"/>
              <w:numPr>
                <w:ilvl w:val="0"/>
                <w:numId w:val="0"/>
              </w:numPr>
              <w:cnfStyle w:val="000000100000"/>
              <w:rPr>
                <w:rFonts w:ascii="Arial" w:eastAsiaTheme="minorEastAsia" w:hAnsi="Arial" w:cs="Arial"/>
                <w:sz w:val="22"/>
                <w:szCs w:val="22"/>
                <w:lang w:val="en-US" w:eastAsia="en-US"/>
              </w:rPr>
            </w:pPr>
            <w:r>
              <w:rPr>
                <w:rFonts w:ascii="Arial" w:eastAsiaTheme="minorEastAsia" w:hAnsi="Arial" w:cs="Arial"/>
                <w:sz w:val="22"/>
                <w:szCs w:val="22"/>
                <w:lang w:val="en-US" w:eastAsia="en-US"/>
              </w:rPr>
              <w:t>A</w:t>
            </w:r>
            <w:r w:rsidR="003815FB">
              <w:rPr>
                <w:rFonts w:ascii="Arial" w:eastAsiaTheme="minorEastAsia" w:hAnsi="Arial" w:cs="Arial"/>
                <w:sz w:val="22"/>
                <w:szCs w:val="22"/>
                <w:lang w:val="en-US" w:eastAsia="en-US"/>
              </w:rPr>
              <w:t xml:space="preserve">ustar provides updates to the committee at each meeting on the status of future mining and proposed sequence. </w:t>
            </w:r>
          </w:p>
        </w:tc>
        <w:tc>
          <w:tcPr>
            <w:tcW w:w="3714" w:type="dxa"/>
          </w:tcPr>
          <w:p w:rsidR="00AD4BB6" w:rsidRPr="00675172" w:rsidRDefault="00AD4BB6" w:rsidP="00D63FDF">
            <w:pPr>
              <w:pStyle w:val="ListBullet0"/>
              <w:numPr>
                <w:ilvl w:val="0"/>
                <w:numId w:val="0"/>
              </w:numPr>
              <w:cnfStyle w:val="000000100000"/>
              <w:rPr>
                <w:rFonts w:ascii="Arial" w:eastAsiaTheme="minorEastAsia" w:hAnsi="Arial" w:cs="Arial"/>
                <w:sz w:val="22"/>
                <w:szCs w:val="22"/>
                <w:lang w:val="en-US" w:eastAsia="en-US"/>
              </w:rPr>
            </w:pPr>
            <w:r>
              <w:rPr>
                <w:rFonts w:ascii="Arial" w:eastAsiaTheme="minorEastAsia" w:hAnsi="Arial" w:cs="Arial"/>
                <w:sz w:val="22"/>
                <w:szCs w:val="22"/>
                <w:lang w:val="en-US" w:eastAsia="en-US"/>
              </w:rPr>
              <w:t>Ongoing</w:t>
            </w:r>
            <w:r w:rsidR="003815FB">
              <w:rPr>
                <w:rFonts w:ascii="Arial" w:eastAsiaTheme="minorEastAsia" w:hAnsi="Arial" w:cs="Arial"/>
                <w:sz w:val="22"/>
                <w:szCs w:val="22"/>
                <w:lang w:val="en-US" w:eastAsia="en-US"/>
              </w:rPr>
              <w:t>.</w:t>
            </w:r>
          </w:p>
        </w:tc>
      </w:tr>
      <w:tr w:rsidR="00AD4BB6" w:rsidRPr="00675172" w:rsidTr="00D63FDF">
        <w:tc>
          <w:tcPr>
            <w:cnfStyle w:val="001000000000"/>
            <w:tcW w:w="1891" w:type="dxa"/>
          </w:tcPr>
          <w:p w:rsidR="00AD4BB6" w:rsidRPr="00675172" w:rsidRDefault="003815FB" w:rsidP="00D63FDF">
            <w:pPr>
              <w:pStyle w:val="ListBullet0"/>
              <w:numPr>
                <w:ilvl w:val="0"/>
                <w:numId w:val="0"/>
              </w:numPr>
              <w:rPr>
                <w:rFonts w:ascii="Arial" w:eastAsiaTheme="minorEastAsia" w:hAnsi="Arial" w:cs="Arial"/>
                <w:sz w:val="22"/>
                <w:szCs w:val="22"/>
                <w:lang w:val="en-US" w:eastAsia="en-US"/>
              </w:rPr>
            </w:pPr>
            <w:r>
              <w:rPr>
                <w:rFonts w:ascii="Arial" w:eastAsiaTheme="minorEastAsia" w:hAnsi="Arial" w:cs="Arial"/>
                <w:sz w:val="22"/>
                <w:szCs w:val="22"/>
                <w:lang w:val="en-US" w:eastAsia="en-US"/>
              </w:rPr>
              <w:t>Request for Yancoal structure and access arrangements</w:t>
            </w:r>
          </w:p>
        </w:tc>
        <w:tc>
          <w:tcPr>
            <w:tcW w:w="3637" w:type="dxa"/>
          </w:tcPr>
          <w:p w:rsidR="00AD4BB6" w:rsidRPr="00675172" w:rsidRDefault="003815FB" w:rsidP="003815FB">
            <w:pPr>
              <w:pStyle w:val="ListBullet0"/>
              <w:numPr>
                <w:ilvl w:val="0"/>
                <w:numId w:val="0"/>
              </w:numPr>
              <w:cnfStyle w:val="000000000000"/>
              <w:rPr>
                <w:rFonts w:ascii="Arial" w:eastAsiaTheme="minorEastAsia" w:hAnsi="Arial" w:cs="Arial"/>
                <w:sz w:val="22"/>
                <w:szCs w:val="22"/>
                <w:lang w:val="en-US" w:eastAsia="en-US"/>
              </w:rPr>
            </w:pPr>
            <w:r>
              <w:rPr>
                <w:rFonts w:ascii="Arial" w:eastAsiaTheme="minorEastAsia" w:hAnsi="Arial" w:cs="Arial"/>
                <w:sz w:val="22"/>
                <w:szCs w:val="22"/>
                <w:lang w:val="en-US" w:eastAsia="en-US"/>
              </w:rPr>
              <w:t>Information provided to committee</w:t>
            </w:r>
            <w:r w:rsidR="00AD4BB6">
              <w:rPr>
                <w:rFonts w:ascii="Arial" w:eastAsiaTheme="minorEastAsia" w:hAnsi="Arial" w:cs="Arial"/>
                <w:sz w:val="22"/>
                <w:szCs w:val="22"/>
                <w:lang w:val="en-US" w:eastAsia="en-US"/>
              </w:rPr>
              <w:t>.</w:t>
            </w:r>
          </w:p>
        </w:tc>
        <w:tc>
          <w:tcPr>
            <w:tcW w:w="3714" w:type="dxa"/>
          </w:tcPr>
          <w:p w:rsidR="00AD4BB6" w:rsidRPr="00675172" w:rsidRDefault="003815FB" w:rsidP="003815FB">
            <w:pPr>
              <w:pStyle w:val="ListBullet0"/>
              <w:numPr>
                <w:ilvl w:val="0"/>
                <w:numId w:val="0"/>
              </w:numPr>
              <w:cnfStyle w:val="000000000000"/>
              <w:rPr>
                <w:rFonts w:ascii="Arial" w:eastAsiaTheme="minorEastAsia" w:hAnsi="Arial" w:cs="Arial"/>
                <w:sz w:val="22"/>
                <w:szCs w:val="22"/>
                <w:lang w:val="en-US" w:eastAsia="en-US"/>
              </w:rPr>
            </w:pPr>
            <w:r>
              <w:rPr>
                <w:rFonts w:ascii="Arial" w:eastAsiaTheme="minorEastAsia" w:hAnsi="Arial" w:cs="Arial"/>
                <w:sz w:val="22"/>
                <w:szCs w:val="22"/>
                <w:lang w:val="en-US" w:eastAsia="en-US"/>
              </w:rPr>
              <w:t>Completed.  Updates a</w:t>
            </w:r>
            <w:r w:rsidR="00AD4BB6">
              <w:rPr>
                <w:rFonts w:ascii="Arial" w:eastAsiaTheme="minorEastAsia" w:hAnsi="Arial" w:cs="Arial"/>
                <w:sz w:val="22"/>
                <w:szCs w:val="22"/>
                <w:lang w:val="en-US" w:eastAsia="en-US"/>
              </w:rPr>
              <w:t>s and when required</w:t>
            </w:r>
            <w:r>
              <w:rPr>
                <w:rFonts w:ascii="Arial" w:eastAsiaTheme="minorEastAsia" w:hAnsi="Arial" w:cs="Arial"/>
                <w:sz w:val="22"/>
                <w:szCs w:val="22"/>
                <w:lang w:val="en-US" w:eastAsia="en-US"/>
              </w:rPr>
              <w:t>.</w:t>
            </w:r>
          </w:p>
        </w:tc>
      </w:tr>
    </w:tbl>
    <w:p w:rsidR="00AD4BB6" w:rsidRDefault="00AD4BB6" w:rsidP="00AD4BB6">
      <w:pPr>
        <w:pStyle w:val="Heading2"/>
        <w:numPr>
          <w:ilvl w:val="0"/>
          <w:numId w:val="1"/>
        </w:numPr>
        <w:spacing w:after="120"/>
        <w:ind w:left="714" w:hanging="357"/>
        <w:rPr>
          <w:rFonts w:ascii="Arial" w:hAnsi="Arial"/>
          <w:color w:val="365F91" w:themeColor="accent1" w:themeShade="BF"/>
          <w:sz w:val="26"/>
          <w:szCs w:val="26"/>
        </w:rPr>
      </w:pPr>
      <w:r w:rsidRPr="0001385C">
        <w:rPr>
          <w:rFonts w:ascii="Arial" w:hAnsi="Arial"/>
          <w:color w:val="365F91" w:themeColor="accent1" w:themeShade="BF"/>
          <w:sz w:val="26"/>
          <w:szCs w:val="26"/>
        </w:rPr>
        <w:t>Focus for next 12 months</w:t>
      </w:r>
    </w:p>
    <w:p w:rsidR="00AD4BB6" w:rsidRDefault="00AD4BB6" w:rsidP="00AD4BB6">
      <w:pPr>
        <w:pStyle w:val="Heading2"/>
        <w:spacing w:after="120"/>
        <w:ind w:left="363"/>
        <w:rPr>
          <w:rFonts w:ascii="Arial" w:hAnsi="Arial"/>
          <w:b w:val="0"/>
          <w:sz w:val="22"/>
          <w:szCs w:val="22"/>
        </w:rPr>
      </w:pPr>
      <w:r w:rsidRPr="00DD68C1">
        <w:rPr>
          <w:rFonts w:ascii="Arial" w:hAnsi="Arial"/>
          <w:b w:val="0"/>
          <w:sz w:val="22"/>
          <w:szCs w:val="22"/>
        </w:rPr>
        <w:t xml:space="preserve">The planned activities for 2019 will </w:t>
      </w:r>
      <w:r>
        <w:rPr>
          <w:rFonts w:ascii="Arial" w:hAnsi="Arial"/>
          <w:b w:val="0"/>
          <w:sz w:val="22"/>
          <w:szCs w:val="22"/>
        </w:rPr>
        <w:t xml:space="preserve">continue to </w:t>
      </w:r>
      <w:r w:rsidRPr="00DD68C1">
        <w:rPr>
          <w:rFonts w:ascii="Arial" w:hAnsi="Arial"/>
          <w:b w:val="0"/>
          <w:sz w:val="22"/>
          <w:szCs w:val="22"/>
        </w:rPr>
        <w:t>be guided by the contributions of the CCC members. These activities are likely to include</w:t>
      </w:r>
      <w:r>
        <w:rPr>
          <w:rFonts w:ascii="Arial" w:hAnsi="Arial"/>
          <w:b w:val="0"/>
          <w:sz w:val="22"/>
          <w:szCs w:val="22"/>
        </w:rPr>
        <w:t>:</w:t>
      </w:r>
    </w:p>
    <w:p w:rsidR="00A945C7" w:rsidRDefault="00A945C7" w:rsidP="00A945C7">
      <w:pPr>
        <w:pStyle w:val="Heading2"/>
        <w:numPr>
          <w:ilvl w:val="0"/>
          <w:numId w:val="7"/>
        </w:numPr>
        <w:spacing w:after="120"/>
        <w:rPr>
          <w:rFonts w:ascii="Arial" w:hAnsi="Arial"/>
          <w:b w:val="0"/>
          <w:sz w:val="22"/>
          <w:szCs w:val="22"/>
        </w:rPr>
      </w:pPr>
      <w:r>
        <w:rPr>
          <w:rFonts w:ascii="Arial" w:hAnsi="Arial"/>
          <w:b w:val="0"/>
          <w:sz w:val="22"/>
          <w:szCs w:val="22"/>
        </w:rPr>
        <w:t>exploration updates</w:t>
      </w:r>
    </w:p>
    <w:p w:rsidR="00AD4BB6" w:rsidRDefault="003815FB" w:rsidP="00AD4BB6">
      <w:pPr>
        <w:pStyle w:val="Heading2"/>
        <w:numPr>
          <w:ilvl w:val="0"/>
          <w:numId w:val="7"/>
        </w:numPr>
        <w:spacing w:after="120"/>
        <w:rPr>
          <w:rFonts w:ascii="Arial" w:hAnsi="Arial"/>
          <w:b w:val="0"/>
          <w:sz w:val="22"/>
          <w:szCs w:val="22"/>
        </w:rPr>
      </w:pPr>
      <w:r>
        <w:rPr>
          <w:rFonts w:ascii="Arial" w:hAnsi="Arial"/>
          <w:b w:val="0"/>
          <w:sz w:val="22"/>
          <w:szCs w:val="22"/>
        </w:rPr>
        <w:t>future extraction plans for</w:t>
      </w:r>
      <w:r w:rsidR="00692E31">
        <w:rPr>
          <w:rFonts w:ascii="Arial" w:hAnsi="Arial"/>
          <w:b w:val="0"/>
          <w:sz w:val="22"/>
          <w:szCs w:val="22"/>
        </w:rPr>
        <w:t xml:space="preserve"> the</w:t>
      </w:r>
      <w:r>
        <w:rPr>
          <w:rFonts w:ascii="Arial" w:hAnsi="Arial"/>
          <w:b w:val="0"/>
          <w:sz w:val="22"/>
          <w:szCs w:val="22"/>
        </w:rPr>
        <w:t xml:space="preserve"> area </w:t>
      </w:r>
    </w:p>
    <w:p w:rsidR="00AD4BB6" w:rsidRDefault="00CD7E5E" w:rsidP="00AD4BB6">
      <w:pPr>
        <w:pStyle w:val="Heading2"/>
        <w:numPr>
          <w:ilvl w:val="0"/>
          <w:numId w:val="7"/>
        </w:numPr>
        <w:spacing w:after="120"/>
        <w:rPr>
          <w:rFonts w:ascii="Arial" w:hAnsi="Arial"/>
          <w:b w:val="0"/>
          <w:sz w:val="22"/>
          <w:szCs w:val="22"/>
        </w:rPr>
      </w:pPr>
      <w:r>
        <w:rPr>
          <w:rFonts w:ascii="Arial" w:hAnsi="Arial"/>
          <w:b w:val="0"/>
          <w:sz w:val="22"/>
          <w:szCs w:val="22"/>
        </w:rPr>
        <w:t xml:space="preserve">progress of </w:t>
      </w:r>
      <w:r w:rsidR="00692E31">
        <w:rPr>
          <w:rFonts w:ascii="Arial" w:hAnsi="Arial"/>
          <w:b w:val="0"/>
          <w:sz w:val="22"/>
          <w:szCs w:val="22"/>
        </w:rPr>
        <w:t>Stage 3</w:t>
      </w:r>
      <w:r>
        <w:rPr>
          <w:rFonts w:ascii="Arial" w:hAnsi="Arial"/>
          <w:b w:val="0"/>
          <w:sz w:val="22"/>
          <w:szCs w:val="22"/>
        </w:rPr>
        <w:t xml:space="preserve"> and Bellbird South</w:t>
      </w:r>
      <w:r w:rsidR="00AD4BB6" w:rsidRPr="00DD68C1">
        <w:rPr>
          <w:rFonts w:ascii="Arial" w:hAnsi="Arial"/>
          <w:b w:val="0"/>
          <w:sz w:val="22"/>
          <w:szCs w:val="22"/>
        </w:rPr>
        <w:t xml:space="preserve"> </w:t>
      </w:r>
      <w:r w:rsidR="00072617">
        <w:rPr>
          <w:rFonts w:ascii="Arial" w:hAnsi="Arial"/>
          <w:b w:val="0"/>
          <w:sz w:val="22"/>
          <w:szCs w:val="22"/>
        </w:rPr>
        <w:t xml:space="preserve">mining </w:t>
      </w:r>
      <w:bookmarkStart w:id="0" w:name="_GoBack"/>
      <w:bookmarkEnd w:id="0"/>
      <w:r>
        <w:rPr>
          <w:rFonts w:ascii="Arial" w:hAnsi="Arial"/>
          <w:b w:val="0"/>
          <w:sz w:val="22"/>
          <w:szCs w:val="22"/>
        </w:rPr>
        <w:t>area</w:t>
      </w:r>
      <w:r w:rsidR="00A945C7">
        <w:rPr>
          <w:rFonts w:ascii="Arial" w:hAnsi="Arial"/>
          <w:b w:val="0"/>
          <w:sz w:val="22"/>
          <w:szCs w:val="22"/>
        </w:rPr>
        <w:t>s</w:t>
      </w:r>
    </w:p>
    <w:p w:rsidR="00AD4BB6" w:rsidRPr="00DD68C1" w:rsidRDefault="00AD4BB6" w:rsidP="00AD4BB6">
      <w:pPr>
        <w:pStyle w:val="Heading2"/>
        <w:spacing w:after="120"/>
        <w:ind w:left="363"/>
        <w:rPr>
          <w:rFonts w:ascii="Arial" w:hAnsi="Arial"/>
          <w:b w:val="0"/>
          <w:sz w:val="22"/>
          <w:szCs w:val="22"/>
        </w:rPr>
      </w:pPr>
      <w:r w:rsidRPr="00DD68C1">
        <w:rPr>
          <w:rFonts w:ascii="Arial" w:hAnsi="Arial"/>
          <w:b w:val="0"/>
          <w:sz w:val="22"/>
          <w:szCs w:val="22"/>
        </w:rPr>
        <w:t>To the best of my knowledge, there are no outstanding or emerging issues that have not been addressed or are in the process of being so, to the committee's satisfaction.</w:t>
      </w:r>
    </w:p>
    <w:p w:rsidR="00AD4BB6" w:rsidRPr="00DD68C1" w:rsidRDefault="00AD4BB6" w:rsidP="00AD4BB6">
      <w:pPr>
        <w:pStyle w:val="Heading2"/>
        <w:spacing w:after="120"/>
        <w:ind w:left="363"/>
        <w:rPr>
          <w:rFonts w:ascii="Arial" w:hAnsi="Arial"/>
          <w:b w:val="0"/>
          <w:sz w:val="22"/>
          <w:szCs w:val="22"/>
        </w:rPr>
      </w:pPr>
      <w:r w:rsidRPr="00DD68C1">
        <w:rPr>
          <w:rFonts w:ascii="Arial" w:hAnsi="Arial"/>
          <w:b w:val="0"/>
          <w:sz w:val="22"/>
          <w:szCs w:val="22"/>
        </w:rPr>
        <w:t xml:space="preserve">Committee Meeting minutes and presentations are available on the website within two weeks of each meeting. </w:t>
      </w:r>
    </w:p>
    <w:p w:rsidR="00AD4BB6" w:rsidRPr="00675172" w:rsidRDefault="00AD4BB6" w:rsidP="00AD4BB6">
      <w:pPr>
        <w:pStyle w:val="BodyText"/>
        <w:rPr>
          <w:rFonts w:ascii="Arial" w:hAnsi="Arial" w:cs="Arial"/>
          <w:sz w:val="22"/>
          <w:szCs w:val="22"/>
        </w:rPr>
      </w:pPr>
    </w:p>
    <w:tbl>
      <w:tblPr>
        <w:tblStyle w:val="GridTable1Light1"/>
        <w:tblW w:w="0" w:type="auto"/>
        <w:tblLook w:val="04A0"/>
      </w:tblPr>
      <w:tblGrid>
        <w:gridCol w:w="2387"/>
        <w:gridCol w:w="6855"/>
      </w:tblGrid>
      <w:tr w:rsidR="00AD4BB6" w:rsidTr="00D63FDF">
        <w:trPr>
          <w:cnfStyle w:val="100000000000"/>
        </w:trPr>
        <w:tc>
          <w:tcPr>
            <w:cnfStyle w:val="001000000000"/>
            <w:tcW w:w="2547" w:type="dxa"/>
          </w:tcPr>
          <w:p w:rsidR="00AD4BB6" w:rsidRPr="0016350E" w:rsidRDefault="00AD4BB6" w:rsidP="00D63FDF">
            <w:pPr>
              <w:pStyle w:val="Heading2"/>
              <w:spacing w:before="0" w:after="0"/>
              <w:outlineLvl w:val="1"/>
              <w:rPr>
                <w:rFonts w:ascii="Arial" w:hAnsi="Arial"/>
                <w:color w:val="000000" w:themeColor="text1"/>
                <w:sz w:val="20"/>
                <w:szCs w:val="26"/>
              </w:rPr>
            </w:pPr>
          </w:p>
          <w:p w:rsidR="00AD4BB6" w:rsidRPr="0016350E" w:rsidRDefault="00AD4BB6" w:rsidP="00D63FDF">
            <w:pPr>
              <w:pStyle w:val="Heading2"/>
              <w:spacing w:before="0" w:after="0"/>
              <w:outlineLvl w:val="1"/>
              <w:rPr>
                <w:rFonts w:ascii="Arial" w:hAnsi="Arial"/>
                <w:color w:val="000000" w:themeColor="text1"/>
                <w:sz w:val="20"/>
              </w:rPr>
            </w:pPr>
            <w:r w:rsidRPr="0016350E">
              <w:rPr>
                <w:rFonts w:ascii="Arial" w:hAnsi="Arial"/>
                <w:color w:val="000000" w:themeColor="text1"/>
                <w:sz w:val="20"/>
                <w:szCs w:val="26"/>
              </w:rPr>
              <w:t>Signature of Chair:</w:t>
            </w:r>
          </w:p>
        </w:tc>
        <w:tc>
          <w:tcPr>
            <w:tcW w:w="7307" w:type="dxa"/>
          </w:tcPr>
          <w:p w:rsidR="00AD4BB6" w:rsidRPr="0016350E" w:rsidRDefault="00AD4BB6" w:rsidP="00D63FDF">
            <w:pPr>
              <w:pStyle w:val="BodyText"/>
              <w:spacing w:before="0" w:after="0" w:line="240" w:lineRule="auto"/>
              <w:cnfStyle w:val="100000000000"/>
              <w:rPr>
                <w:rFonts w:ascii="Arial" w:hAnsi="Arial" w:cs="Arial"/>
                <w:sz w:val="20"/>
              </w:rPr>
            </w:pPr>
            <w:r w:rsidRPr="008F55B1">
              <w:rPr>
                <w:rFonts w:ascii="Arial" w:hAnsi="Arial" w:cs="Arial"/>
                <w:noProof/>
                <w:sz w:val="20"/>
              </w:rPr>
              <w:drawing>
                <wp:inline distT="0" distB="0" distL="0" distR="0">
                  <wp:extent cx="1962150" cy="485775"/>
                  <wp:effectExtent l="19050" t="0" r="0" b="0"/>
                  <wp:docPr id="10" name="Picture 10" descr="C:\Users\margaret\AppData\Local\Microsoft\Windows\Temporary Internet Files\Content.Word\signature1310201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rgaret\AppData\Local\Microsoft\Windows\Temporary Internet Files\Content.Word\signature13102017.bmp"/>
                          <pic:cNvPicPr>
                            <a:picLocks noChangeAspect="1" noChangeArrowheads="1"/>
                          </pic:cNvPicPr>
                        </pic:nvPicPr>
                        <pic:blipFill>
                          <a:blip r:embed="rId5" cstate="print"/>
                          <a:srcRect l="18869" t="28169" r="47033"/>
                          <a:stretch>
                            <a:fillRect/>
                          </a:stretch>
                        </pic:blipFill>
                        <pic:spPr bwMode="auto">
                          <a:xfrm>
                            <a:off x="0" y="0"/>
                            <a:ext cx="1962150" cy="485775"/>
                          </a:xfrm>
                          <a:prstGeom prst="rect">
                            <a:avLst/>
                          </a:prstGeom>
                          <a:noFill/>
                          <a:ln w="9525">
                            <a:noFill/>
                            <a:miter lim="800000"/>
                            <a:headEnd/>
                            <a:tailEnd/>
                          </a:ln>
                        </pic:spPr>
                      </pic:pic>
                    </a:graphicData>
                  </a:graphic>
                </wp:inline>
              </w:drawing>
            </w:r>
          </w:p>
        </w:tc>
      </w:tr>
      <w:tr w:rsidR="00AD4BB6" w:rsidTr="00D63FDF">
        <w:tc>
          <w:tcPr>
            <w:cnfStyle w:val="001000000000"/>
            <w:tcW w:w="2547" w:type="dxa"/>
          </w:tcPr>
          <w:p w:rsidR="00AD4BB6" w:rsidRPr="0016350E" w:rsidRDefault="00AD4BB6" w:rsidP="00D63FDF">
            <w:pPr>
              <w:pStyle w:val="Heading2"/>
              <w:spacing w:before="0" w:after="0"/>
              <w:outlineLvl w:val="1"/>
              <w:rPr>
                <w:rFonts w:ascii="Arial" w:hAnsi="Arial"/>
                <w:color w:val="000000" w:themeColor="text1"/>
                <w:sz w:val="20"/>
                <w:szCs w:val="26"/>
              </w:rPr>
            </w:pPr>
          </w:p>
          <w:p w:rsidR="00AD4BB6" w:rsidRPr="0016350E" w:rsidRDefault="00AD4BB6" w:rsidP="00D63FDF">
            <w:pPr>
              <w:pStyle w:val="Heading2"/>
              <w:spacing w:before="0" w:after="0"/>
              <w:outlineLvl w:val="1"/>
              <w:rPr>
                <w:rFonts w:ascii="Arial" w:hAnsi="Arial"/>
                <w:color w:val="000000" w:themeColor="text1"/>
                <w:sz w:val="20"/>
                <w:szCs w:val="26"/>
              </w:rPr>
            </w:pPr>
            <w:r w:rsidRPr="0016350E">
              <w:rPr>
                <w:rFonts w:ascii="Arial" w:hAnsi="Arial"/>
                <w:color w:val="000000" w:themeColor="text1"/>
                <w:sz w:val="20"/>
                <w:szCs w:val="26"/>
              </w:rPr>
              <w:t>Date:</w:t>
            </w:r>
          </w:p>
        </w:tc>
        <w:tc>
          <w:tcPr>
            <w:tcW w:w="7307" w:type="dxa"/>
          </w:tcPr>
          <w:p w:rsidR="00AD4BB6" w:rsidRDefault="00AD4BB6" w:rsidP="00D63FDF">
            <w:pPr>
              <w:pStyle w:val="BodyText"/>
              <w:spacing w:before="0" w:after="0" w:line="240" w:lineRule="auto"/>
              <w:cnfStyle w:val="000000000000"/>
              <w:rPr>
                <w:rFonts w:ascii="Arial" w:hAnsi="Arial" w:cs="Arial"/>
                <w:sz w:val="20"/>
              </w:rPr>
            </w:pPr>
          </w:p>
          <w:p w:rsidR="00AD4BB6" w:rsidRPr="0016350E" w:rsidRDefault="00692E31" w:rsidP="00692E31">
            <w:pPr>
              <w:pStyle w:val="BodyText"/>
              <w:spacing w:before="0" w:after="0" w:line="240" w:lineRule="auto"/>
              <w:cnfStyle w:val="000000000000"/>
              <w:rPr>
                <w:rFonts w:ascii="Arial" w:hAnsi="Arial" w:cs="Arial"/>
                <w:sz w:val="20"/>
              </w:rPr>
            </w:pPr>
            <w:r>
              <w:rPr>
                <w:rFonts w:ascii="Arial" w:hAnsi="Arial" w:cs="Arial"/>
                <w:sz w:val="20"/>
              </w:rPr>
              <w:t>April 30</w:t>
            </w:r>
            <w:r w:rsidR="00AD4BB6">
              <w:rPr>
                <w:rFonts w:ascii="Arial" w:hAnsi="Arial" w:cs="Arial"/>
                <w:sz w:val="20"/>
              </w:rPr>
              <w:t xml:space="preserve"> 2019</w:t>
            </w:r>
          </w:p>
        </w:tc>
      </w:tr>
    </w:tbl>
    <w:p w:rsidR="00AD4BB6" w:rsidRPr="00675172" w:rsidRDefault="00AD4BB6" w:rsidP="00AD4BB6">
      <w:pPr>
        <w:rPr>
          <w:rFonts w:ascii="Arial" w:hAnsi="Arial" w:cs="Arial"/>
        </w:rPr>
      </w:pPr>
    </w:p>
    <w:sectPr w:rsidR="00AD4BB6" w:rsidRPr="00675172" w:rsidSect="00D236E2">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8004BB"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414B1"/>
    <w:multiLevelType w:val="hybridMultilevel"/>
    <w:tmpl w:val="17F8C860"/>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251E17C4"/>
    <w:multiLevelType w:val="hybridMultilevel"/>
    <w:tmpl w:val="CFE63D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272A229A"/>
    <w:multiLevelType w:val="hybridMultilevel"/>
    <w:tmpl w:val="2860578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4A71CD1"/>
    <w:multiLevelType w:val="multilevel"/>
    <w:tmpl w:val="7228EA06"/>
    <w:numStyleLink w:val="ListBullet"/>
  </w:abstractNum>
  <w:abstractNum w:abstractNumId="4">
    <w:nsid w:val="353912ED"/>
    <w:multiLevelType w:val="multilevel"/>
    <w:tmpl w:val="7228EA06"/>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16"/>
        <w:szCs w:val="20"/>
      </w:rPr>
    </w:lvl>
    <w:lvl w:ilvl="1">
      <w:start w:val="1"/>
      <w:numFmt w:val="bullet"/>
      <w:pStyle w:val="ListBullet2"/>
      <w:lvlText w:val="–"/>
      <w:lvlJc w:val="left"/>
      <w:pPr>
        <w:tabs>
          <w:tab w:val="num" w:pos="567"/>
        </w:tabs>
        <w:ind w:left="567" w:hanging="283"/>
      </w:pPr>
      <w:rPr>
        <w:rFonts w:asciiTheme="minorHAnsi" w:hAnsiTheme="minorHAnsi" w:hint="default"/>
        <w:caps w:val="0"/>
        <w:strike w:val="0"/>
        <w:dstrike w:val="0"/>
        <w:vanish w:val="0"/>
        <w:color w:val="auto"/>
        <w:sz w:val="20"/>
        <w:u w:val="none"/>
        <w:vertAlign w:val="baseline"/>
      </w:rPr>
    </w:lvl>
    <w:lvl w:ilvl="2">
      <w:start w:val="1"/>
      <w:numFmt w:val="bullet"/>
      <w:pStyle w:val="ListBullet3"/>
      <w:lvlText w:val=""/>
      <w:lvlJc w:val="left"/>
      <w:pPr>
        <w:tabs>
          <w:tab w:val="num" w:pos="851"/>
        </w:tabs>
        <w:ind w:left="851" w:hanging="284"/>
      </w:pPr>
      <w:rPr>
        <w:rFonts w:ascii="Symbol" w:hAnsi="Symbol" w:hint="default"/>
        <w:color w:val="auto"/>
        <w:sz w:val="16"/>
      </w:rPr>
    </w:lvl>
    <w:lvl w:ilvl="3">
      <w:start w:val="1"/>
      <w:numFmt w:val="bullet"/>
      <w:pStyle w:val="ListBullet4"/>
      <w:lvlText w:val="–"/>
      <w:lvlJc w:val="left"/>
      <w:pPr>
        <w:tabs>
          <w:tab w:val="num" w:pos="1134"/>
        </w:tabs>
        <w:ind w:left="1134" w:hanging="283"/>
      </w:pPr>
      <w:rPr>
        <w:rFonts w:asciiTheme="minorHAnsi" w:hAnsiTheme="minorHAnsi" w:hint="default"/>
        <w:caps w:val="0"/>
        <w:strike w:val="0"/>
        <w:dstrike w:val="0"/>
        <w:vanish w:val="0"/>
        <w:color w:val="auto"/>
        <w:sz w:val="20"/>
        <w:u w:val="none"/>
        <w:vertAlign w:val="baseline"/>
      </w:rPr>
    </w:lvl>
    <w:lvl w:ilvl="4">
      <w:start w:val="1"/>
      <w:numFmt w:val="bullet"/>
      <w:pStyle w:val="ListBullet5"/>
      <w:lvlText w:val=""/>
      <w:lvlJc w:val="left"/>
      <w:pPr>
        <w:tabs>
          <w:tab w:val="num" w:pos="1418"/>
        </w:tabs>
        <w:ind w:left="1418" w:hanging="284"/>
      </w:pPr>
      <w:rPr>
        <w:rFonts w:ascii="Symbol" w:hAnsi="Symbol" w:hint="default"/>
        <w:color w:val="auto"/>
        <w:sz w:val="16"/>
      </w:rPr>
    </w:lvl>
    <w:lvl w:ilvl="5">
      <w:start w:val="1"/>
      <w:numFmt w:val="bullet"/>
      <w:pStyle w:val="ListBullet6"/>
      <w:lvlText w:val="–"/>
      <w:lvlJc w:val="left"/>
      <w:pPr>
        <w:tabs>
          <w:tab w:val="num" w:pos="1701"/>
        </w:tabs>
        <w:ind w:left="1701" w:hanging="283"/>
      </w:pPr>
      <w:rPr>
        <w:rFonts w:asciiTheme="minorHAnsi" w:hAnsiTheme="minorHAnsi" w:cs="Times New Roman"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5">
    <w:nsid w:val="3575791E"/>
    <w:multiLevelType w:val="hybridMultilevel"/>
    <w:tmpl w:val="AF8E6C80"/>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6">
    <w:nsid w:val="6CF5412D"/>
    <w:multiLevelType w:val="hybridMultilevel"/>
    <w:tmpl w:val="4A52B1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6F914D67"/>
    <w:multiLevelType w:val="hybridMultilevel"/>
    <w:tmpl w:val="5ECE7F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7"/>
  </w:num>
  <w:num w:numId="7">
    <w:abstractNumId w:val="5"/>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ly McCormack">
    <w15:presenceInfo w15:providerId="AD" w15:userId="S-1-5-21-711927772-4261288084-5977503-902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characterSpacingControl w:val="doNotCompress"/>
  <w:compat/>
  <w:rsids>
    <w:rsidRoot w:val="00AD4BB6"/>
    <w:rsid w:val="00072617"/>
    <w:rsid w:val="00082C27"/>
    <w:rsid w:val="000F7735"/>
    <w:rsid w:val="00281EC1"/>
    <w:rsid w:val="002C571D"/>
    <w:rsid w:val="002D427D"/>
    <w:rsid w:val="002F277D"/>
    <w:rsid w:val="00315686"/>
    <w:rsid w:val="003815FB"/>
    <w:rsid w:val="00434708"/>
    <w:rsid w:val="00464B41"/>
    <w:rsid w:val="004755A4"/>
    <w:rsid w:val="00511450"/>
    <w:rsid w:val="005803C3"/>
    <w:rsid w:val="00692E31"/>
    <w:rsid w:val="007D00FD"/>
    <w:rsid w:val="009405E8"/>
    <w:rsid w:val="009B03C1"/>
    <w:rsid w:val="00A410D4"/>
    <w:rsid w:val="00A862D9"/>
    <w:rsid w:val="00A945C7"/>
    <w:rsid w:val="00AC60C0"/>
    <w:rsid w:val="00AC7D76"/>
    <w:rsid w:val="00AD4BB6"/>
    <w:rsid w:val="00BE5590"/>
    <w:rsid w:val="00C60BAC"/>
    <w:rsid w:val="00CC1A55"/>
    <w:rsid w:val="00CD7E5E"/>
    <w:rsid w:val="00CF0ACC"/>
    <w:rsid w:val="00D91A24"/>
    <w:rsid w:val="00DD154D"/>
    <w:rsid w:val="00EB0EA8"/>
    <w:rsid w:val="00EF500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Bullet 2" w:uiPriority="19"/>
    <w:lsdException w:name="List Bullet 3" w:uiPriority="19"/>
    <w:lsdException w:name="List Bullet 4" w:uiPriority="19"/>
    <w:lsdException w:name="List Bullet 5" w:uiPriority="19"/>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BB6"/>
    <w:pPr>
      <w:spacing w:after="0" w:line="240" w:lineRule="auto"/>
    </w:pPr>
    <w:rPr>
      <w:sz w:val="18"/>
    </w:rPr>
  </w:style>
  <w:style w:type="paragraph" w:styleId="Heading2">
    <w:name w:val="heading 2"/>
    <w:basedOn w:val="Normal"/>
    <w:next w:val="BodyText"/>
    <w:link w:val="Heading2Char"/>
    <w:qFormat/>
    <w:rsid w:val="00AD4BB6"/>
    <w:pPr>
      <w:keepNext/>
      <w:keepLines/>
      <w:spacing w:before="240" w:after="240"/>
      <w:outlineLvl w:val="1"/>
    </w:pPr>
    <w:rPr>
      <w:rFonts w:eastAsia="Times New Roman" w:cs="Arial"/>
      <w:b/>
      <w:bCs/>
      <w:iCs/>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D4BB6"/>
    <w:rPr>
      <w:rFonts w:eastAsia="Times New Roman" w:cs="Arial"/>
      <w:b/>
      <w:bCs/>
      <w:iCs/>
      <w:sz w:val="28"/>
      <w:szCs w:val="28"/>
      <w:lang w:eastAsia="en-AU"/>
    </w:rPr>
  </w:style>
  <w:style w:type="paragraph" w:styleId="BodyText">
    <w:name w:val="Body Text"/>
    <w:basedOn w:val="Normal"/>
    <w:link w:val="BodyTextChar"/>
    <w:qFormat/>
    <w:rsid w:val="00AD4BB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AD4BB6"/>
    <w:rPr>
      <w:rFonts w:eastAsia="Times New Roman" w:cs="Times New Roman"/>
      <w:sz w:val="18"/>
      <w:szCs w:val="24"/>
      <w:lang w:eastAsia="en-AU"/>
    </w:rPr>
  </w:style>
  <w:style w:type="table" w:customStyle="1" w:styleId="GridTable1Light1">
    <w:name w:val="Grid Table 1 Light1"/>
    <w:basedOn w:val="TableNormal"/>
    <w:uiPriority w:val="46"/>
    <w:rsid w:val="00AD4BB6"/>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Bullet0">
    <w:name w:val="List Bullet"/>
    <w:basedOn w:val="Normal"/>
    <w:uiPriority w:val="1"/>
    <w:qFormat/>
    <w:rsid w:val="00AD4BB6"/>
    <w:pPr>
      <w:numPr>
        <w:numId w:val="4"/>
      </w:numPr>
      <w:spacing w:before="120" w:after="120" w:line="264" w:lineRule="auto"/>
    </w:pPr>
    <w:rPr>
      <w:rFonts w:eastAsia="Times New Roman" w:cs="Times New Roman"/>
      <w:szCs w:val="24"/>
      <w:lang w:eastAsia="en-AU"/>
    </w:rPr>
  </w:style>
  <w:style w:type="paragraph" w:styleId="ListBullet2">
    <w:name w:val="List Bullet 2"/>
    <w:basedOn w:val="ListBullet0"/>
    <w:uiPriority w:val="19"/>
    <w:rsid w:val="00AD4BB6"/>
    <w:pPr>
      <w:numPr>
        <w:ilvl w:val="1"/>
      </w:numPr>
    </w:pPr>
  </w:style>
  <w:style w:type="paragraph" w:styleId="ListBullet3">
    <w:name w:val="List Bullet 3"/>
    <w:basedOn w:val="ListBullet0"/>
    <w:uiPriority w:val="19"/>
    <w:rsid w:val="00AD4BB6"/>
    <w:pPr>
      <w:numPr>
        <w:ilvl w:val="2"/>
      </w:numPr>
    </w:pPr>
  </w:style>
  <w:style w:type="paragraph" w:styleId="ListBullet4">
    <w:name w:val="List Bullet 4"/>
    <w:basedOn w:val="ListBullet0"/>
    <w:uiPriority w:val="19"/>
    <w:rsid w:val="00AD4BB6"/>
    <w:pPr>
      <w:numPr>
        <w:ilvl w:val="3"/>
      </w:numPr>
    </w:pPr>
  </w:style>
  <w:style w:type="paragraph" w:styleId="ListBullet5">
    <w:name w:val="List Bullet 5"/>
    <w:basedOn w:val="ListBullet0"/>
    <w:uiPriority w:val="19"/>
    <w:rsid w:val="00AD4BB6"/>
    <w:pPr>
      <w:numPr>
        <w:ilvl w:val="4"/>
      </w:numPr>
    </w:pPr>
  </w:style>
  <w:style w:type="paragraph" w:customStyle="1" w:styleId="ListBullet6">
    <w:name w:val="List Bullet 6"/>
    <w:basedOn w:val="ListBullet0"/>
    <w:uiPriority w:val="19"/>
    <w:rsid w:val="00AD4BB6"/>
    <w:pPr>
      <w:numPr>
        <w:ilvl w:val="5"/>
      </w:numPr>
    </w:pPr>
  </w:style>
  <w:style w:type="numbering" w:customStyle="1" w:styleId="ListBullet">
    <w:name w:val="List_Bullet"/>
    <w:uiPriority w:val="99"/>
    <w:rsid w:val="00AD4BB6"/>
    <w:pPr>
      <w:numPr>
        <w:numId w:val="3"/>
      </w:numPr>
    </w:pPr>
  </w:style>
  <w:style w:type="table" w:customStyle="1" w:styleId="PlainTable11">
    <w:name w:val="Plain Table 11"/>
    <w:basedOn w:val="TableNormal"/>
    <w:uiPriority w:val="41"/>
    <w:rsid w:val="00AD4BB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AD4BB6"/>
    <w:rPr>
      <w:rFonts w:ascii="Tahoma" w:hAnsi="Tahoma" w:cs="Tahoma"/>
      <w:sz w:val="16"/>
      <w:szCs w:val="16"/>
    </w:rPr>
  </w:style>
  <w:style w:type="character" w:customStyle="1" w:styleId="BalloonTextChar">
    <w:name w:val="Balloon Text Char"/>
    <w:basedOn w:val="DefaultParagraphFont"/>
    <w:link w:val="BalloonText"/>
    <w:uiPriority w:val="99"/>
    <w:semiHidden/>
    <w:rsid w:val="00AD4BB6"/>
    <w:rPr>
      <w:rFonts w:ascii="Tahoma" w:hAnsi="Tahoma" w:cs="Tahoma"/>
      <w:sz w:val="16"/>
      <w:szCs w:val="16"/>
    </w:rPr>
  </w:style>
  <w:style w:type="table" w:customStyle="1" w:styleId="PlainTable12">
    <w:name w:val="Plain Table 12"/>
    <w:basedOn w:val="TableNormal"/>
    <w:uiPriority w:val="41"/>
    <w:rsid w:val="00AD4BB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4755A4"/>
    <w:rPr>
      <w:sz w:val="16"/>
      <w:szCs w:val="16"/>
    </w:rPr>
  </w:style>
  <w:style w:type="paragraph" w:styleId="CommentText">
    <w:name w:val="annotation text"/>
    <w:basedOn w:val="Normal"/>
    <w:link w:val="CommentTextChar"/>
    <w:uiPriority w:val="99"/>
    <w:semiHidden/>
    <w:unhideWhenUsed/>
    <w:rsid w:val="004755A4"/>
    <w:rPr>
      <w:sz w:val="20"/>
      <w:szCs w:val="20"/>
    </w:rPr>
  </w:style>
  <w:style w:type="character" w:customStyle="1" w:styleId="CommentTextChar">
    <w:name w:val="Comment Text Char"/>
    <w:basedOn w:val="DefaultParagraphFont"/>
    <w:link w:val="CommentText"/>
    <w:uiPriority w:val="99"/>
    <w:semiHidden/>
    <w:rsid w:val="004755A4"/>
    <w:rPr>
      <w:sz w:val="20"/>
      <w:szCs w:val="20"/>
    </w:rPr>
  </w:style>
  <w:style w:type="paragraph" w:styleId="CommentSubject">
    <w:name w:val="annotation subject"/>
    <w:basedOn w:val="CommentText"/>
    <w:next w:val="CommentText"/>
    <w:link w:val="CommentSubjectChar"/>
    <w:uiPriority w:val="99"/>
    <w:semiHidden/>
    <w:unhideWhenUsed/>
    <w:rsid w:val="004755A4"/>
    <w:rPr>
      <w:b/>
      <w:bCs/>
    </w:rPr>
  </w:style>
  <w:style w:type="character" w:customStyle="1" w:styleId="CommentSubjectChar">
    <w:name w:val="Comment Subject Char"/>
    <w:basedOn w:val="CommentTextChar"/>
    <w:link w:val="CommentSubject"/>
    <w:uiPriority w:val="99"/>
    <w:semiHidden/>
    <w:rsid w:val="004755A4"/>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margaret</cp:lastModifiedBy>
  <cp:revision>2</cp:revision>
  <cp:lastPrinted>2019-05-01T07:09:00Z</cp:lastPrinted>
  <dcterms:created xsi:type="dcterms:W3CDTF">2019-05-01T07:08:00Z</dcterms:created>
  <dcterms:modified xsi:type="dcterms:W3CDTF">2019-05-01T07:08:00Z</dcterms:modified>
</cp:coreProperties>
</file>